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1D3E2" w14:textId="77777777" w:rsidR="00617539" w:rsidRDefault="00C71833">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bookmarkStart w:id="0" w:name="_heading=h.3dy6vkm" w:colFirst="0" w:colLast="0"/>
      <w:bookmarkEnd w:id="0"/>
      <w:r>
        <w:rPr>
          <w:rFonts w:ascii="Arial" w:eastAsia="Arial" w:hAnsi="Arial"/>
          <w:b/>
          <w:color w:val="000000"/>
          <w:sz w:val="36"/>
          <w:szCs w:val="36"/>
        </w:rPr>
        <w:t>Joint Schedule 7 (Financial Difficulties)</w:t>
      </w:r>
    </w:p>
    <w:p w14:paraId="672A6659" w14:textId="77777777" w:rsidR="00617539" w:rsidRDefault="00617539">
      <w:pPr>
        <w:pBdr>
          <w:top w:val="nil"/>
          <w:left w:val="nil"/>
          <w:bottom w:val="nil"/>
          <w:right w:val="nil"/>
          <w:between w:val="nil"/>
        </w:pBdr>
        <w:tabs>
          <w:tab w:val="left" w:pos="1985"/>
        </w:tabs>
        <w:spacing w:before="120" w:after="120"/>
        <w:ind w:left="-142" w:hanging="720"/>
        <w:jc w:val="left"/>
        <w:rPr>
          <w:rFonts w:ascii="Arial" w:eastAsia="Arial" w:hAnsi="Arial"/>
          <w:color w:val="000000"/>
          <w:sz w:val="24"/>
          <w:szCs w:val="24"/>
        </w:rPr>
      </w:pPr>
    </w:p>
    <w:p w14:paraId="32E1BFAF" w14:textId="77777777" w:rsidR="00617539" w:rsidRDefault="00C71833">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7494BA7" w14:textId="77777777" w:rsidR="00617539" w:rsidRDefault="00C71833">
      <w:pPr>
        <w:numPr>
          <w:ilvl w:val="1"/>
          <w:numId w:val="1"/>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14:paraId="0A37501D" w14:textId="77777777" w:rsidR="00617539" w:rsidRDefault="00617539">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7"/>
        <w:tblW w:w="8656"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704"/>
        <w:gridCol w:w="5952"/>
      </w:tblGrid>
      <w:tr w:rsidR="00617539" w14:paraId="7247DF95" w14:textId="77777777">
        <w:tc>
          <w:tcPr>
            <w:tcW w:w="2704" w:type="dxa"/>
          </w:tcPr>
          <w:p w14:paraId="3CC268A5" w14:textId="77777777" w:rsidR="00617539" w:rsidRDefault="00C71833">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“Applicable Financial Indicators”</w:t>
            </w:r>
          </w:p>
        </w:tc>
        <w:tc>
          <w:tcPr>
            <w:tcW w:w="5952" w:type="dxa"/>
          </w:tcPr>
          <w:p w14:paraId="53B9E9F9" w14:textId="77777777" w:rsidR="00617539" w:rsidRDefault="00C71833">
            <w:pPr>
              <w:keepNext/>
              <w:pBdr>
                <w:top w:val="nil"/>
                <w:left w:val="nil"/>
                <w:bottom w:val="nil"/>
                <w:right w:val="nil"/>
                <w:between w:val="nil"/>
              </w:pBdr>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617539" w14:paraId="38BA92D5" w14:textId="77777777">
        <w:tc>
          <w:tcPr>
            <w:tcW w:w="2704" w:type="dxa"/>
          </w:tcPr>
          <w:p w14:paraId="3F12C4AA" w14:textId="77777777" w:rsidR="00617539" w:rsidRDefault="00C71833">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“Board”</w:t>
            </w:r>
          </w:p>
        </w:tc>
        <w:tc>
          <w:tcPr>
            <w:tcW w:w="5952" w:type="dxa"/>
          </w:tcPr>
          <w:p w14:paraId="5AFE76D8" w14:textId="77777777" w:rsidR="00617539" w:rsidRDefault="00C71833">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617539" w14:paraId="06D73AE2" w14:textId="77777777">
        <w:tc>
          <w:tcPr>
            <w:tcW w:w="2704" w:type="dxa"/>
          </w:tcPr>
          <w:p w14:paraId="25CE4E31" w14:textId="77777777" w:rsidR="00617539" w:rsidRDefault="00C71833">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“Board Confirmation”</w:t>
            </w:r>
          </w:p>
        </w:tc>
        <w:tc>
          <w:tcPr>
            <w:tcW w:w="5952" w:type="dxa"/>
          </w:tcPr>
          <w:p w14:paraId="2E55F764" w14:textId="77777777" w:rsidR="00617539" w:rsidRDefault="00C71833">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617539" w14:paraId="24AE25C0" w14:textId="77777777">
        <w:tc>
          <w:tcPr>
            <w:tcW w:w="2704" w:type="dxa"/>
          </w:tcPr>
          <w:p w14:paraId="1C369CFF" w14:textId="77777777" w:rsidR="00617539" w:rsidRDefault="00C71833">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952" w:type="dxa"/>
          </w:tcPr>
          <w:p w14:paraId="0A03919D" w14:textId="77777777" w:rsidR="00617539" w:rsidRDefault="00C71833">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means the UK Government’s team responsible for managing the relationship between government and its Strategic Suppliers, or any replacement or successor body carrying out the same function;</w:t>
            </w:r>
          </w:p>
        </w:tc>
      </w:tr>
      <w:tr w:rsidR="00617539" w14:paraId="773688FC" w14:textId="77777777">
        <w:tc>
          <w:tcPr>
            <w:tcW w:w="2704" w:type="dxa"/>
          </w:tcPr>
          <w:p w14:paraId="7680F107" w14:textId="77777777" w:rsidR="00617539" w:rsidRDefault="00C71833">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952" w:type="dxa"/>
          </w:tcPr>
          <w:p w14:paraId="169E5BC5" w14:textId="77777777" w:rsidR="00617539" w:rsidRDefault="00C71833">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minimum credit rating level for each entity in the FDE Group as set out in Annex 1 to this Schedule;</w:t>
            </w:r>
          </w:p>
        </w:tc>
      </w:tr>
      <w:tr w:rsidR="00617539" w14:paraId="17ADBC98" w14:textId="77777777">
        <w:tc>
          <w:tcPr>
            <w:tcW w:w="2704" w:type="dxa"/>
          </w:tcPr>
          <w:p w14:paraId="12E306CB" w14:textId="77777777" w:rsidR="00617539" w:rsidRDefault="00C71833">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“FDE Group”</w:t>
            </w:r>
          </w:p>
        </w:tc>
        <w:tc>
          <w:tcPr>
            <w:tcW w:w="5952" w:type="dxa"/>
          </w:tcPr>
          <w:p w14:paraId="49D6E28A" w14:textId="41582D83" w:rsidR="00617539" w:rsidRDefault="00C71833">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means the Supplier</w:t>
            </w:r>
            <w:r w:rsidR="005F24C7">
              <w:rPr>
                <w:rFonts w:ascii="Arial" w:eastAsia="Arial" w:hAnsi="Arial"/>
                <w:color w:val="000000"/>
                <w:sz w:val="24"/>
                <w:szCs w:val="24"/>
              </w:rPr>
              <w:t xml:space="preserve"> </w:t>
            </w:r>
            <w:r w:rsidR="005F24C7" w:rsidRPr="005F24C7">
              <w:rPr>
                <w:rFonts w:ascii="Arial" w:eastAsia="Arial" w:hAnsi="Arial"/>
                <w:color w:val="000000"/>
                <w:sz w:val="24"/>
                <w:szCs w:val="24"/>
                <w:shd w:val="clear" w:color="auto" w:fill="FFFFFF" w:themeFill="background1"/>
              </w:rPr>
              <w:t>and any</w:t>
            </w:r>
            <w:r w:rsidRPr="005F24C7">
              <w:rPr>
                <w:rFonts w:ascii="Arial" w:eastAsia="Arial" w:hAnsi="Arial"/>
                <w:color w:val="000000"/>
                <w:sz w:val="24"/>
                <w:szCs w:val="24"/>
                <w:shd w:val="clear" w:color="auto" w:fill="FFFFFF" w:themeFill="background1"/>
              </w:rPr>
              <w:t xml:space="preserve"> Guarantor</w:t>
            </w:r>
            <w:r w:rsidR="005F24C7" w:rsidRPr="005F24C7">
              <w:rPr>
                <w:rFonts w:ascii="Arial" w:eastAsia="Arial" w:hAnsi="Arial"/>
                <w:color w:val="000000"/>
                <w:sz w:val="24"/>
                <w:szCs w:val="24"/>
                <w:shd w:val="clear" w:color="auto" w:fill="FFFFFF" w:themeFill="background1"/>
              </w:rPr>
              <w:t>;</w:t>
            </w:r>
          </w:p>
        </w:tc>
      </w:tr>
      <w:tr w:rsidR="00617539" w14:paraId="29C86790" w14:textId="77777777">
        <w:tc>
          <w:tcPr>
            <w:tcW w:w="2704" w:type="dxa"/>
          </w:tcPr>
          <w:p w14:paraId="0BADE6D2" w14:textId="77777777" w:rsidR="00617539" w:rsidRDefault="00C71833">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952" w:type="dxa"/>
          </w:tcPr>
          <w:p w14:paraId="69C13AF6" w14:textId="77777777" w:rsidR="00617539" w:rsidRDefault="00C71833">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617539" w14:paraId="1669BEA5" w14:textId="77777777">
        <w:tc>
          <w:tcPr>
            <w:tcW w:w="2704" w:type="dxa"/>
          </w:tcPr>
          <w:p w14:paraId="6D1144DA" w14:textId="77777777" w:rsidR="00617539" w:rsidRDefault="00C71833">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“Financial Distress Remediation Plan”</w:t>
            </w:r>
          </w:p>
        </w:tc>
        <w:tc>
          <w:tcPr>
            <w:tcW w:w="5952" w:type="dxa"/>
          </w:tcPr>
          <w:p w14:paraId="7B686CCD" w14:textId="77777777" w:rsidR="00617539" w:rsidRDefault="00C71833">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617539" w14:paraId="0818FFC0" w14:textId="77777777">
        <w:tc>
          <w:tcPr>
            <w:tcW w:w="2704" w:type="dxa"/>
          </w:tcPr>
          <w:p w14:paraId="30F26D6A" w14:textId="77777777" w:rsidR="00617539" w:rsidRDefault="00C71833">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“Financial Indicators”</w:t>
            </w:r>
          </w:p>
        </w:tc>
        <w:tc>
          <w:tcPr>
            <w:tcW w:w="5952" w:type="dxa"/>
          </w:tcPr>
          <w:p w14:paraId="5D12FE68" w14:textId="77777777" w:rsidR="00617539" w:rsidRDefault="00C71833">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in respect of the Supplier, Key Sub-contractors and the Guarantor, means each of the financial indicators set out at paragraph 5.1 of this Schedule and in respect of each Monitored Supplier, means those Applicable Financial Indicators;</w:t>
            </w:r>
          </w:p>
        </w:tc>
      </w:tr>
      <w:tr w:rsidR="00617539" w14:paraId="15098079" w14:textId="77777777">
        <w:tc>
          <w:tcPr>
            <w:tcW w:w="2704" w:type="dxa"/>
          </w:tcPr>
          <w:p w14:paraId="0B0B0B09" w14:textId="77777777" w:rsidR="00617539" w:rsidRDefault="00C71833">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“Financial Target Thresholds”</w:t>
            </w:r>
          </w:p>
        </w:tc>
        <w:tc>
          <w:tcPr>
            <w:tcW w:w="5952" w:type="dxa"/>
          </w:tcPr>
          <w:p w14:paraId="7227B4B7" w14:textId="77777777" w:rsidR="00617539" w:rsidRDefault="00C71833">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means the target thresholds for each of the Financial Indicators set out at paragraph 5.1 of this Schedule;</w:t>
            </w:r>
          </w:p>
        </w:tc>
      </w:tr>
      <w:tr w:rsidR="00617539" w14:paraId="065D29FF" w14:textId="77777777">
        <w:tc>
          <w:tcPr>
            <w:tcW w:w="2704" w:type="dxa"/>
          </w:tcPr>
          <w:p w14:paraId="30EF1EF8" w14:textId="77777777" w:rsidR="00617539" w:rsidRDefault="00C71833">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“Monitored Suppliers”</w:t>
            </w:r>
          </w:p>
        </w:tc>
        <w:tc>
          <w:tcPr>
            <w:tcW w:w="5952" w:type="dxa"/>
          </w:tcPr>
          <w:p w14:paraId="32F61259" w14:textId="77777777" w:rsidR="00617539" w:rsidRDefault="00C71833">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617539" w14:paraId="6A34FE22" w14:textId="77777777">
        <w:tc>
          <w:tcPr>
            <w:tcW w:w="2704" w:type="dxa"/>
          </w:tcPr>
          <w:p w14:paraId="10D1C992" w14:textId="77777777" w:rsidR="00617539" w:rsidRDefault="00C71833">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t>“Rating Agencies”</w:t>
            </w:r>
          </w:p>
        </w:tc>
        <w:tc>
          <w:tcPr>
            <w:tcW w:w="5952" w:type="dxa"/>
          </w:tcPr>
          <w:p w14:paraId="1FD8310E" w14:textId="77777777" w:rsidR="00617539" w:rsidRDefault="00C71833">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617539" w14:paraId="1403FDFD" w14:textId="77777777">
        <w:tc>
          <w:tcPr>
            <w:tcW w:w="2704" w:type="dxa"/>
          </w:tcPr>
          <w:p w14:paraId="0BB04BA3" w14:textId="77777777" w:rsidR="00617539" w:rsidRDefault="00C71833">
            <w:pPr>
              <w:pBdr>
                <w:top w:val="nil"/>
                <w:left w:val="nil"/>
                <w:bottom w:val="nil"/>
                <w:right w:val="nil"/>
                <w:between w:val="nil"/>
              </w:pBdr>
              <w:tabs>
                <w:tab w:val="left" w:pos="1134"/>
              </w:tabs>
              <w:spacing w:before="120" w:after="120"/>
              <w:jc w:val="left"/>
              <w:rPr>
                <w:rFonts w:ascii="Arial" w:eastAsia="Arial" w:hAnsi="Arial"/>
                <w:b/>
                <w:color w:val="000000"/>
                <w:sz w:val="24"/>
                <w:szCs w:val="24"/>
              </w:rPr>
            </w:pPr>
            <w:r>
              <w:rPr>
                <w:rFonts w:ascii="Arial" w:eastAsia="Arial" w:hAnsi="Arial"/>
                <w:b/>
                <w:color w:val="000000"/>
                <w:sz w:val="24"/>
                <w:szCs w:val="24"/>
              </w:rPr>
              <w:lastRenderedPageBreak/>
              <w:t>“Strategic Supplier”</w:t>
            </w:r>
          </w:p>
        </w:tc>
        <w:tc>
          <w:tcPr>
            <w:tcW w:w="5952" w:type="dxa"/>
          </w:tcPr>
          <w:p w14:paraId="627E69B1" w14:textId="77777777" w:rsidR="00617539" w:rsidRDefault="00C71833">
            <w:p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11">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14:paraId="6DFAC101" w14:textId="77777777" w:rsidR="00617539" w:rsidRDefault="00C71833">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14:paraId="54140FF8" w14:textId="77777777" w:rsidR="00617539" w:rsidRDefault="00C71833">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14:paraId="5A22D753"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long term credit ratings issued for each entity in the FDE Group by each of the Rating Agencies are as set out in Annex 2 to this Schedule; and</w:t>
      </w:r>
    </w:p>
    <w:p w14:paraId="7F6C06DE"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14:paraId="23E22FDF"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14:paraId="1DB63E19"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w:t>
      </w:r>
    </w:p>
    <w:p w14:paraId="5148E6B0"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regularly monitor the credit ratings of each entity in the FDE Group with the Rating Agencies;</w:t>
      </w:r>
    </w:p>
    <w:p w14:paraId="24BF45AB"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1E758169"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398999DA"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14:paraId="6A1E195B"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2.3.2 shall:</w:t>
      </w:r>
    </w:p>
    <w:p w14:paraId="4570B87F"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a single report with separate sections for each of the FDE Group entities;</w:t>
      </w:r>
    </w:p>
    <w:p w14:paraId="79B6CB36"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contain a sufficient level of information to enable the Relevant Authority to verify the calculations that have been made in respect of the Financial Indicators;</w:t>
      </w:r>
    </w:p>
    <w:p w14:paraId="37E03FAE"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key financial and other supporting information (including any accounts data that has been relied on) as separate annexes;</w:t>
      </w:r>
    </w:p>
    <w:p w14:paraId="0E4D07F8"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5B9444B3"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financial performance.</w:t>
      </w:r>
    </w:p>
    <w:p w14:paraId="5685AB98" w14:textId="77777777" w:rsidR="00617539" w:rsidRDefault="00C71833">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14:paraId="0E393604"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14:paraId="226A2A72"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credit rating of an FDE Group entity dropping below the applicable Credit Rating Threshold;</w:t>
      </w:r>
    </w:p>
    <w:p w14:paraId="5904DF08"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issuing a profits warning to a stock exchange or making any other public announcement, in each case about a material deterioration in its financial position or prospects;</w:t>
      </w:r>
    </w:p>
    <w:p w14:paraId="2893AF57"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there being a public investigation into improper financial accounting and reporting, suspected fraud or any other impropriety of an FDE Group entity;</w:t>
      </w:r>
    </w:p>
    <w:p w14:paraId="54CD17B8"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committing a material breach of covenant to its lenders;</w:t>
      </w:r>
    </w:p>
    <w:p w14:paraId="13706DAC" w14:textId="1F2C827F" w:rsidR="00617539" w:rsidRDefault="00C71833" w:rsidP="1711DF62">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sidRPr="1711DF62">
        <w:rPr>
          <w:rFonts w:ascii="Arial" w:eastAsia="Arial" w:hAnsi="Arial"/>
          <w:color w:val="000000" w:themeColor="text1"/>
          <w:sz w:val="24"/>
          <w:szCs w:val="24"/>
        </w:rPr>
        <w:t xml:space="preserve">a Key Sub-contractor notifying </w:t>
      </w:r>
      <w:r w:rsidR="567CADD0" w:rsidRPr="1711DF62">
        <w:rPr>
          <w:rFonts w:ascii="Arial" w:eastAsia="Arial" w:hAnsi="Arial"/>
          <w:color w:val="000000" w:themeColor="text1"/>
          <w:sz w:val="24"/>
          <w:szCs w:val="24"/>
        </w:rPr>
        <w:t xml:space="preserve">NHS </w:t>
      </w:r>
      <w:proofErr w:type="spellStart"/>
      <w:r w:rsidR="49141A09" w:rsidRPr="1711DF62">
        <w:rPr>
          <w:rFonts w:ascii="Arial" w:eastAsia="Arial" w:hAnsi="Arial"/>
          <w:color w:val="000000" w:themeColor="text1"/>
          <w:sz w:val="24"/>
          <w:szCs w:val="24"/>
        </w:rPr>
        <w:t>NHS</w:t>
      </w:r>
      <w:proofErr w:type="spellEnd"/>
      <w:r w:rsidR="49141A09" w:rsidRPr="1711DF62">
        <w:rPr>
          <w:rFonts w:ascii="Arial" w:eastAsia="Arial" w:hAnsi="Arial"/>
          <w:color w:val="000000" w:themeColor="text1"/>
          <w:sz w:val="24"/>
          <w:szCs w:val="24"/>
        </w:rPr>
        <w:t xml:space="preserve"> LPP</w:t>
      </w:r>
      <w:r w:rsidRPr="1711DF62">
        <w:rPr>
          <w:rFonts w:ascii="Arial" w:eastAsia="Arial" w:hAnsi="Arial"/>
          <w:color w:val="000000" w:themeColor="text1"/>
          <w:sz w:val="24"/>
          <w:szCs w:val="24"/>
        </w:rPr>
        <w:t xml:space="preserve"> or the Buyer that the Supplier has not satisfied any material sums properly due under a specified invoice and not subject to a genuine dispute;</w:t>
      </w:r>
    </w:p>
    <w:p w14:paraId="44223D61"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of the following:</w:t>
      </w:r>
    </w:p>
    <w:p w14:paraId="2FE822B1" w14:textId="77777777" w:rsidR="00617539" w:rsidRDefault="00C71833">
      <w:pPr>
        <w:numPr>
          <w:ilvl w:val="3"/>
          <w:numId w:val="1"/>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commencement of any litigation against an FDE Group entity with respect to financial indebtedness greater than £5m or obligations under a service contract with a total contract value greater than £5m; </w:t>
      </w:r>
    </w:p>
    <w:p w14:paraId="60EDFBCA" w14:textId="77777777" w:rsidR="00617539" w:rsidRDefault="00C71833">
      <w:pPr>
        <w:numPr>
          <w:ilvl w:val="3"/>
          <w:numId w:val="1"/>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non-payment by an FDE Group entity of any financial indebtedness;</w:t>
      </w:r>
    </w:p>
    <w:p w14:paraId="76BE300A" w14:textId="77777777" w:rsidR="00617539" w:rsidRDefault="00C71833">
      <w:pPr>
        <w:numPr>
          <w:ilvl w:val="3"/>
          <w:numId w:val="1"/>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any financial indebtedness of an FDE Group entity becoming due as a result of an event of default;</w:t>
      </w:r>
    </w:p>
    <w:p w14:paraId="2ED36F42" w14:textId="77777777" w:rsidR="00617539" w:rsidRDefault="00C71833">
      <w:pPr>
        <w:numPr>
          <w:ilvl w:val="3"/>
          <w:numId w:val="1"/>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14:paraId="6D426FAC" w14:textId="77777777" w:rsidR="00617539" w:rsidRDefault="00C71833">
      <w:pPr>
        <w:numPr>
          <w:ilvl w:val="3"/>
          <w:numId w:val="1"/>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the external auditor of an FDE Group entity expressing a qualified opinion on, or including an </w:t>
      </w:r>
      <w:r>
        <w:rPr>
          <w:rFonts w:ascii="Arial" w:eastAsia="Arial" w:hAnsi="Arial"/>
          <w:color w:val="000000"/>
          <w:sz w:val="24"/>
          <w:szCs w:val="24"/>
        </w:rPr>
        <w:lastRenderedPageBreak/>
        <w:t>emphasis of matter in, its opinion on the statutory accounts of that FDE entity;</w:t>
      </w:r>
    </w:p>
    <w:p w14:paraId="403BF03F" w14:textId="77777777" w:rsidR="00617539" w:rsidRDefault="00C71833">
      <w:pPr>
        <w:pBdr>
          <w:top w:val="nil"/>
          <w:left w:val="nil"/>
          <w:bottom w:val="nil"/>
          <w:right w:val="nil"/>
          <w:between w:val="nil"/>
        </w:pBdr>
        <w:tabs>
          <w:tab w:val="left" w:pos="1985"/>
        </w:tabs>
        <w:spacing w:before="120" w:after="120"/>
        <w:ind w:left="2466" w:hanging="7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and delivery of the Deliverables in accordance with the Contract; and</w:t>
      </w:r>
    </w:p>
    <w:p w14:paraId="4B005230" w14:textId="77777777" w:rsidR="00617539" w:rsidRDefault="00C71833">
      <w:pPr>
        <w:numPr>
          <w:ilvl w:val="2"/>
          <w:numId w:val="1"/>
        </w:numPr>
        <w:pBdr>
          <w:top w:val="nil"/>
          <w:left w:val="nil"/>
          <w:bottom w:val="nil"/>
          <w:right w:val="nil"/>
          <w:between w:val="nil"/>
        </w:pBdr>
        <w:tabs>
          <w:tab w:val="left" w:pos="1985"/>
        </w:tabs>
        <w:spacing w:before="120" w:after="120"/>
        <w:rPr>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14:paraId="7969643A" w14:textId="77777777" w:rsidR="00617539" w:rsidRDefault="00C71833">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 of Financial Distress Events</w:t>
      </w:r>
    </w:p>
    <w:p w14:paraId="088692B1"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14:paraId="6B8BC248"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the event of a late or non-payment of a Key Sub-contractor pursuant to Paragraph 3.1.5, the Relevant Authority shall not exercise any of its rights or remedies under Paragraph 4.3 without first giving the Supplier 10 Working Days to:</w:t>
      </w:r>
    </w:p>
    <w:p w14:paraId="4E03F935"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rectify such late or non-payment; or</w:t>
      </w:r>
    </w:p>
    <w:p w14:paraId="434D08B6"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14:paraId="0B90CFFC"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14:paraId="382BA8CF"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14:paraId="1DB5D81D"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14:paraId="742B334E" w14:textId="77777777" w:rsidR="00617539" w:rsidRDefault="00C71833">
      <w:pPr>
        <w:numPr>
          <w:ilvl w:val="3"/>
          <w:numId w:val="1"/>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14:paraId="56AE7388" w14:textId="77777777" w:rsidR="00617539" w:rsidRDefault="00C71833">
      <w:pPr>
        <w:numPr>
          <w:ilvl w:val="3"/>
          <w:numId w:val="1"/>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lastRenderedPageBreak/>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5AABC60D"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14:paraId="37FD5D04"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1BB4CCB9"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14:paraId="192B4924"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14:paraId="2088E493" w14:textId="77777777" w:rsidR="00617539" w:rsidRDefault="00C71833">
      <w:pPr>
        <w:numPr>
          <w:ilvl w:val="3"/>
          <w:numId w:val="1"/>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14:paraId="35D5416C" w14:textId="77777777" w:rsidR="00617539" w:rsidRDefault="00C71833">
      <w:pPr>
        <w:numPr>
          <w:ilvl w:val="3"/>
          <w:numId w:val="1"/>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14:paraId="32F5E367"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where updates are made to the Financial Distress Remediation Plan in accordance with Paragraph 4.6.1, submit an updated Financial Distress Remediation Plan to the Relevant Authority for its approval, and the provisions of Paragraphs 4.4 and 4.5 </w:t>
      </w:r>
      <w:r>
        <w:rPr>
          <w:rFonts w:ascii="Arial" w:eastAsia="Arial" w:hAnsi="Arial"/>
          <w:color w:val="000000"/>
          <w:sz w:val="24"/>
          <w:szCs w:val="24"/>
        </w:rPr>
        <w:lastRenderedPageBreak/>
        <w:t>shall apply to the review and approval process for the updated Financial Distress Remediation Plan; and</w:t>
      </w:r>
    </w:p>
    <w:p w14:paraId="7C5A7215"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that it achieves the financial and performance requirements set out in the Financial Distress Remediation Plan.</w:t>
      </w:r>
    </w:p>
    <w:p w14:paraId="15DB7843"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14:paraId="16547C6C"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14:paraId="7A8E75E4"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obtaining in advance written authority from Key Sub-contractors, the Guarantor and/or Monitored Suppliers authorising the disclosure of the information to the Buyer and/or entering into confidentiality agreements which permit disclosure;</w:t>
      </w:r>
    </w:p>
    <w:p w14:paraId="78999904"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agreeing in advance with the Relevant Authority, Key Sub-contractors, the Guarantor and/or Monitored Suppliers a form of confidentiality agreement to be entered by the relevant parties to enable the disclosure of the information to the Relevant Authority;</w:t>
      </w:r>
    </w:p>
    <w:p w14:paraId="7C75CCA6"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14:paraId="4E479EF3"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disclosing the information to the fullest extent that it is lawfully entitled to do so, including through the use of redaction, anonymisation and any other techniques to permit disclosure of the information without breaching a duty of confidentiality.</w:t>
      </w:r>
    </w:p>
    <w:p w14:paraId="12DCF560" w14:textId="77777777" w:rsidR="00617539" w:rsidRDefault="00C71833">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Indicators</w:t>
      </w:r>
    </w:p>
    <w:p w14:paraId="4881A028"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p w14:paraId="5DAB6C7B" w14:textId="77777777" w:rsidR="00617539" w:rsidRDefault="00617539">
      <w:pPr>
        <w:pBdr>
          <w:top w:val="nil"/>
          <w:left w:val="nil"/>
          <w:bottom w:val="nil"/>
          <w:right w:val="nil"/>
          <w:between w:val="nil"/>
        </w:pBdr>
        <w:tabs>
          <w:tab w:val="left" w:pos="1134"/>
        </w:tabs>
        <w:spacing w:before="120" w:after="120"/>
        <w:ind w:left="360"/>
        <w:jc w:val="left"/>
        <w:rPr>
          <w:rFonts w:ascii="Arial" w:eastAsia="Arial" w:hAnsi="Arial"/>
          <w:color w:val="000000"/>
          <w:sz w:val="24"/>
          <w:szCs w:val="24"/>
        </w:rPr>
      </w:pPr>
    </w:p>
    <w:p w14:paraId="02EB378F" w14:textId="77777777" w:rsidR="00617539" w:rsidRDefault="00617539">
      <w:pPr>
        <w:pBdr>
          <w:top w:val="nil"/>
          <w:left w:val="nil"/>
          <w:bottom w:val="nil"/>
          <w:right w:val="nil"/>
          <w:between w:val="nil"/>
        </w:pBdr>
        <w:tabs>
          <w:tab w:val="left" w:pos="1134"/>
        </w:tabs>
        <w:spacing w:before="120" w:after="120"/>
        <w:jc w:val="left"/>
        <w:rPr>
          <w:rFonts w:ascii="Arial" w:eastAsia="Arial" w:hAnsi="Arial"/>
          <w:i/>
          <w:color w:val="000000"/>
          <w:sz w:val="24"/>
          <w:szCs w:val="24"/>
        </w:rPr>
      </w:pPr>
    </w:p>
    <w:p w14:paraId="6A05A809" w14:textId="77777777" w:rsidR="00617539" w:rsidRDefault="00617539">
      <w:pPr>
        <w:pBdr>
          <w:top w:val="nil"/>
          <w:left w:val="nil"/>
          <w:bottom w:val="nil"/>
          <w:right w:val="nil"/>
          <w:between w:val="nil"/>
        </w:pBdr>
        <w:tabs>
          <w:tab w:val="left" w:pos="1134"/>
        </w:tabs>
        <w:spacing w:before="120" w:after="120"/>
        <w:jc w:val="left"/>
        <w:rPr>
          <w:rFonts w:ascii="Arial" w:eastAsia="Arial" w:hAnsi="Arial"/>
          <w:i/>
          <w:color w:val="000000"/>
          <w:sz w:val="24"/>
          <w:szCs w:val="24"/>
        </w:rPr>
      </w:pPr>
    </w:p>
    <w:p w14:paraId="75A9FEC5" w14:textId="77777777" w:rsidR="00617539" w:rsidRDefault="00EE466F">
      <w:pPr>
        <w:pBdr>
          <w:top w:val="nil"/>
          <w:left w:val="nil"/>
          <w:bottom w:val="nil"/>
          <w:right w:val="nil"/>
          <w:between w:val="nil"/>
        </w:pBdr>
        <w:tabs>
          <w:tab w:val="left" w:pos="1134"/>
        </w:tabs>
        <w:spacing w:before="120" w:after="120"/>
        <w:jc w:val="left"/>
        <w:rPr>
          <w:rFonts w:ascii="Arial" w:eastAsia="Arial" w:hAnsi="Arial"/>
          <w:i/>
          <w:color w:val="000000"/>
          <w:sz w:val="24"/>
          <w:szCs w:val="24"/>
        </w:rPr>
      </w:pPr>
      <w:r>
        <w:rPr>
          <w:rFonts w:ascii="Arial" w:eastAsia="Arial" w:hAnsi="Arial"/>
          <w:i/>
          <w:color w:val="000000"/>
          <w:sz w:val="24"/>
          <w:szCs w:val="24"/>
        </w:rPr>
        <w:t>Lots 3 and 4</w:t>
      </w:r>
    </w:p>
    <w:tbl>
      <w:tblPr>
        <w:tblStyle w:val="a8"/>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617539" w14:paraId="2F9AB44C" w14:textId="77777777">
        <w:tc>
          <w:tcPr>
            <w:tcW w:w="2253" w:type="dxa"/>
            <w:shd w:val="clear" w:color="auto" w:fill="D9D9D9"/>
            <w:vAlign w:val="center"/>
          </w:tcPr>
          <w:p w14:paraId="1E1D13B5" w14:textId="77777777" w:rsidR="00617539" w:rsidRDefault="00C71833">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lastRenderedPageBreak/>
              <w:t>Financial Indicator</w:t>
            </w:r>
          </w:p>
        </w:tc>
        <w:tc>
          <w:tcPr>
            <w:tcW w:w="1977" w:type="dxa"/>
            <w:shd w:val="clear" w:color="auto" w:fill="D9D9D9"/>
            <w:vAlign w:val="center"/>
          </w:tcPr>
          <w:p w14:paraId="0A0A0CBE" w14:textId="77777777" w:rsidR="00617539" w:rsidRDefault="00C71833">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Calculation</w:t>
            </w:r>
            <w:r>
              <w:rPr>
                <w:rFonts w:ascii="Arial" w:eastAsia="Arial" w:hAnsi="Arial"/>
                <w:b/>
                <w:color w:val="000000"/>
                <w:sz w:val="24"/>
                <w:szCs w:val="24"/>
                <w:vertAlign w:val="superscript"/>
              </w:rPr>
              <w:t>1</w:t>
            </w:r>
          </w:p>
        </w:tc>
        <w:tc>
          <w:tcPr>
            <w:tcW w:w="1697" w:type="dxa"/>
            <w:shd w:val="clear" w:color="auto" w:fill="D9D9D9"/>
            <w:vAlign w:val="center"/>
          </w:tcPr>
          <w:p w14:paraId="60A8094B" w14:textId="77777777" w:rsidR="00617539" w:rsidRDefault="00C71833">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Target Threshold:</w:t>
            </w:r>
          </w:p>
        </w:tc>
        <w:tc>
          <w:tcPr>
            <w:tcW w:w="3089" w:type="dxa"/>
            <w:shd w:val="clear" w:color="auto" w:fill="D9D9D9"/>
            <w:vAlign w:val="center"/>
          </w:tcPr>
          <w:p w14:paraId="53801C6F" w14:textId="77777777" w:rsidR="00617539" w:rsidRDefault="00C71833">
            <w:pPr>
              <w:pBdr>
                <w:top w:val="nil"/>
                <w:left w:val="nil"/>
                <w:bottom w:val="nil"/>
                <w:right w:val="nil"/>
                <w:between w:val="nil"/>
              </w:pBdr>
              <w:spacing w:before="100" w:after="200"/>
              <w:jc w:val="center"/>
              <w:rPr>
                <w:rFonts w:ascii="Arial" w:eastAsia="Arial" w:hAnsi="Arial"/>
                <w:b/>
                <w:color w:val="000000"/>
                <w:sz w:val="24"/>
                <w:szCs w:val="24"/>
              </w:rPr>
            </w:pPr>
            <w:bookmarkStart w:id="1" w:name="_heading=h.1ci93xb" w:colFirst="0" w:colLast="0"/>
            <w:bookmarkEnd w:id="1"/>
            <w:r>
              <w:rPr>
                <w:rFonts w:ascii="Arial" w:eastAsia="Arial" w:hAnsi="Arial"/>
                <w:b/>
                <w:color w:val="000000"/>
                <w:sz w:val="24"/>
                <w:szCs w:val="24"/>
              </w:rPr>
              <w:t>Monitoring and Reporting Frequency if different from the default position set out in Paragraph 2.3</w:t>
            </w:r>
            <w:r>
              <w:rPr>
                <w:rFonts w:ascii="Arial" w:eastAsia="Arial" w:hAnsi="Arial"/>
                <w:b/>
                <w:sz w:val="24"/>
                <w:szCs w:val="24"/>
              </w:rPr>
              <w:t>.2</w:t>
            </w:r>
          </w:p>
        </w:tc>
      </w:tr>
      <w:tr w:rsidR="00617539" w14:paraId="441DEC0F" w14:textId="77777777">
        <w:tc>
          <w:tcPr>
            <w:tcW w:w="2253" w:type="dxa"/>
            <w:vAlign w:val="center"/>
          </w:tcPr>
          <w:p w14:paraId="649841BE"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14:paraId="162CAD98"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p w14:paraId="5A39BBE3" w14:textId="77777777" w:rsidR="00617539" w:rsidRDefault="00617539">
            <w:pPr>
              <w:pBdr>
                <w:top w:val="nil"/>
                <w:left w:val="nil"/>
                <w:bottom w:val="nil"/>
                <w:right w:val="nil"/>
                <w:between w:val="nil"/>
              </w:pBdr>
              <w:spacing w:before="100" w:after="200"/>
              <w:jc w:val="left"/>
              <w:rPr>
                <w:rFonts w:ascii="Arial" w:eastAsia="Arial" w:hAnsi="Arial"/>
                <w:b/>
                <w:color w:val="000000"/>
                <w:sz w:val="24"/>
                <w:szCs w:val="24"/>
              </w:rPr>
            </w:pPr>
          </w:p>
        </w:tc>
        <w:tc>
          <w:tcPr>
            <w:tcW w:w="1977" w:type="dxa"/>
            <w:vAlign w:val="center"/>
          </w:tcPr>
          <w:p w14:paraId="242C593F"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Operating Margin = Operating Profit / Revenue</w:t>
            </w:r>
          </w:p>
        </w:tc>
        <w:tc>
          <w:tcPr>
            <w:tcW w:w="1697" w:type="dxa"/>
            <w:vAlign w:val="center"/>
          </w:tcPr>
          <w:p w14:paraId="629D792A"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N/A</w:t>
            </w:r>
          </w:p>
        </w:tc>
        <w:tc>
          <w:tcPr>
            <w:tcW w:w="3089" w:type="dxa"/>
            <w:vAlign w:val="center"/>
          </w:tcPr>
          <w:p w14:paraId="34824FA9"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N/A</w:t>
            </w:r>
          </w:p>
        </w:tc>
      </w:tr>
      <w:tr w:rsidR="00617539" w14:paraId="6EEF5B32" w14:textId="77777777">
        <w:tc>
          <w:tcPr>
            <w:tcW w:w="2253" w:type="dxa"/>
            <w:vAlign w:val="center"/>
          </w:tcPr>
          <w:p w14:paraId="18F999B5"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14:paraId="614A58FB"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1977" w:type="dxa"/>
            <w:vAlign w:val="center"/>
          </w:tcPr>
          <w:p w14:paraId="562474D3"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 Net Debt to EBITDA ratio = Net Debt / EBITDA</w:t>
            </w:r>
          </w:p>
        </w:tc>
        <w:tc>
          <w:tcPr>
            <w:tcW w:w="1697" w:type="dxa"/>
            <w:vAlign w:val="center"/>
          </w:tcPr>
          <w:p w14:paraId="47834729"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&lt; 3.5 times</w:t>
            </w:r>
          </w:p>
        </w:tc>
        <w:tc>
          <w:tcPr>
            <w:tcW w:w="3089" w:type="dxa"/>
            <w:vAlign w:val="center"/>
          </w:tcPr>
          <w:p w14:paraId="4A966FEE"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w:t>
            </w:r>
            <w:r>
              <w:rPr>
                <w:rFonts w:ascii="Arial" w:eastAsia="Arial" w:hAnsi="Arial"/>
                <w:i/>
                <w:color w:val="7030A0"/>
                <w:sz w:val="24"/>
                <w:szCs w:val="24"/>
              </w:rPr>
              <w:t xml:space="preserve"> </w:t>
            </w:r>
            <w:r>
              <w:rPr>
                <w:rFonts w:ascii="Arial" w:eastAsia="Arial" w:hAnsi="Arial"/>
                <w:i/>
                <w:color w:val="000000"/>
                <w:sz w:val="24"/>
                <w:szCs w:val="24"/>
              </w:rPr>
              <w:t xml:space="preserve">in arrears within </w:t>
            </w:r>
            <w:r>
              <w:rPr>
                <w:rFonts w:ascii="Arial" w:eastAsia="Arial" w:hAnsi="Arial"/>
                <w:i/>
                <w:color w:val="7030A0"/>
                <w:sz w:val="24"/>
                <w:szCs w:val="24"/>
              </w:rPr>
              <w:t>120</w:t>
            </w:r>
            <w:r>
              <w:rPr>
                <w:rFonts w:ascii="Arial" w:eastAsia="Arial" w:hAnsi="Arial"/>
                <w:i/>
                <w:color w:val="000000"/>
                <w:sz w:val="24"/>
                <w:szCs w:val="24"/>
              </w:rPr>
              <w:t xml:space="preserve"> days of each accounting reference date</w:t>
            </w:r>
            <w:r>
              <w:rPr>
                <w:rFonts w:ascii="Arial" w:eastAsia="Arial" w:hAnsi="Arial"/>
                <w:i/>
                <w:color w:val="7030A0"/>
                <w:sz w:val="24"/>
                <w:szCs w:val="24"/>
              </w:rPr>
              <w:t xml:space="preserve"> </w:t>
            </w:r>
            <w:r>
              <w:rPr>
                <w:rFonts w:ascii="Arial" w:eastAsia="Arial" w:hAnsi="Arial"/>
                <w:i/>
                <w:color w:val="000000"/>
                <w:sz w:val="24"/>
                <w:szCs w:val="24"/>
              </w:rPr>
              <w:t>based upon EBITDA for the 12 months ending on, and Net Debt at the relevant accounting reference date</w:t>
            </w:r>
          </w:p>
        </w:tc>
      </w:tr>
      <w:tr w:rsidR="00617539" w14:paraId="2AD1CCEA" w14:textId="77777777">
        <w:tc>
          <w:tcPr>
            <w:tcW w:w="2253" w:type="dxa"/>
            <w:vAlign w:val="center"/>
          </w:tcPr>
          <w:p w14:paraId="5FCD5EC4"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3</w:t>
            </w:r>
          </w:p>
          <w:p w14:paraId="69E652DC"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 Net Pension Deficit to EBITDA ratio</w:t>
            </w:r>
          </w:p>
        </w:tc>
        <w:tc>
          <w:tcPr>
            <w:tcW w:w="1977" w:type="dxa"/>
            <w:vAlign w:val="center"/>
          </w:tcPr>
          <w:p w14:paraId="00B84E6E"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Debt + Net Pension Deficit to EBITDA Ratio = (Net Debt + Net Pension Deficit) / EBITDA</w:t>
            </w:r>
          </w:p>
        </w:tc>
        <w:tc>
          <w:tcPr>
            <w:tcW w:w="1697" w:type="dxa"/>
            <w:vAlign w:val="center"/>
          </w:tcPr>
          <w:p w14:paraId="7546AC13"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N/A</w:t>
            </w:r>
          </w:p>
        </w:tc>
        <w:tc>
          <w:tcPr>
            <w:tcW w:w="3089" w:type="dxa"/>
            <w:vAlign w:val="center"/>
          </w:tcPr>
          <w:p w14:paraId="7759889B"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N/A</w:t>
            </w:r>
          </w:p>
        </w:tc>
      </w:tr>
      <w:tr w:rsidR="00617539" w14:paraId="42F953A0" w14:textId="77777777">
        <w:tc>
          <w:tcPr>
            <w:tcW w:w="2253" w:type="dxa"/>
            <w:vAlign w:val="center"/>
          </w:tcPr>
          <w:p w14:paraId="2598DEE6"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4</w:t>
            </w:r>
          </w:p>
          <w:p w14:paraId="38EF6042"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1977" w:type="dxa"/>
            <w:vAlign w:val="center"/>
          </w:tcPr>
          <w:p w14:paraId="0D49495F"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Interest Paid Cover = Earnings Before Interest and Tax / Net Interest Paid</w:t>
            </w:r>
          </w:p>
        </w:tc>
        <w:tc>
          <w:tcPr>
            <w:tcW w:w="1697" w:type="dxa"/>
            <w:vAlign w:val="center"/>
          </w:tcPr>
          <w:p w14:paraId="72593DC3"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&gt; 2.5 times</w:t>
            </w:r>
          </w:p>
        </w:tc>
        <w:tc>
          <w:tcPr>
            <w:tcW w:w="3089" w:type="dxa"/>
            <w:vAlign w:val="center"/>
          </w:tcPr>
          <w:p w14:paraId="2FFAE5D7"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120 days of each accounting reference date based upon figures for the 12 months ending on the relevant accounting reference date </w:t>
            </w:r>
          </w:p>
        </w:tc>
      </w:tr>
      <w:tr w:rsidR="00617539" w14:paraId="1E4D9D4C" w14:textId="77777777">
        <w:tc>
          <w:tcPr>
            <w:tcW w:w="2253" w:type="dxa"/>
            <w:vAlign w:val="center"/>
          </w:tcPr>
          <w:p w14:paraId="78941E47"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5</w:t>
            </w:r>
          </w:p>
          <w:p w14:paraId="4E59175F"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1977" w:type="dxa"/>
            <w:vAlign w:val="center"/>
          </w:tcPr>
          <w:p w14:paraId="29782BDB"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Acid Ratio = (Current Assets – Inventories) / Current Liabilities</w:t>
            </w:r>
          </w:p>
        </w:tc>
        <w:tc>
          <w:tcPr>
            <w:tcW w:w="1697" w:type="dxa"/>
            <w:vAlign w:val="center"/>
          </w:tcPr>
          <w:p w14:paraId="00E7140E"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&gt; 0.7 times</w:t>
            </w:r>
          </w:p>
        </w:tc>
        <w:tc>
          <w:tcPr>
            <w:tcW w:w="3089" w:type="dxa"/>
            <w:vAlign w:val="center"/>
          </w:tcPr>
          <w:p w14:paraId="5313DCC5"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120 days of each accounting reference date based upon figures at the relevant accounting reference date</w:t>
            </w:r>
          </w:p>
        </w:tc>
      </w:tr>
      <w:tr w:rsidR="00617539" w14:paraId="60BA3388" w14:textId="77777777">
        <w:tc>
          <w:tcPr>
            <w:tcW w:w="2253" w:type="dxa"/>
            <w:vAlign w:val="center"/>
          </w:tcPr>
          <w:p w14:paraId="29B4EA11"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14:paraId="59B2111D"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Net Asset value</w:t>
            </w:r>
          </w:p>
        </w:tc>
        <w:tc>
          <w:tcPr>
            <w:tcW w:w="1977" w:type="dxa"/>
            <w:vAlign w:val="center"/>
          </w:tcPr>
          <w:p w14:paraId="561E8337"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lastRenderedPageBreak/>
              <w:t>Net Asset Value = Net Assets</w:t>
            </w:r>
          </w:p>
        </w:tc>
        <w:tc>
          <w:tcPr>
            <w:tcW w:w="1697" w:type="dxa"/>
            <w:vAlign w:val="center"/>
          </w:tcPr>
          <w:p w14:paraId="31D7FC0D"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&gt; £0</w:t>
            </w:r>
          </w:p>
        </w:tc>
        <w:tc>
          <w:tcPr>
            <w:tcW w:w="3089" w:type="dxa"/>
            <w:vAlign w:val="center"/>
          </w:tcPr>
          <w:p w14:paraId="66F7B8F4"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000000"/>
                <w:sz w:val="24"/>
                <w:szCs w:val="24"/>
              </w:rPr>
              <w:lastRenderedPageBreak/>
              <w:t>120 days of each accounting reference date based upon figures at the relevant accounting reference date</w:t>
            </w:r>
          </w:p>
        </w:tc>
      </w:tr>
      <w:tr w:rsidR="00617539" w14:paraId="5C695D7B" w14:textId="77777777">
        <w:tc>
          <w:tcPr>
            <w:tcW w:w="2253" w:type="dxa"/>
            <w:vAlign w:val="center"/>
          </w:tcPr>
          <w:p w14:paraId="75697EEC"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7</w:t>
            </w:r>
          </w:p>
          <w:p w14:paraId="4897E481"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1977" w:type="dxa"/>
            <w:vAlign w:val="center"/>
          </w:tcPr>
          <w:p w14:paraId="5FCBD5B3"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Group Exposure / Gross Assets</w:t>
            </w:r>
          </w:p>
        </w:tc>
        <w:tc>
          <w:tcPr>
            <w:tcW w:w="1697" w:type="dxa"/>
            <w:vAlign w:val="center"/>
          </w:tcPr>
          <w:p w14:paraId="2F5090EE"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N/A</w:t>
            </w:r>
          </w:p>
        </w:tc>
        <w:tc>
          <w:tcPr>
            <w:tcW w:w="3089" w:type="dxa"/>
            <w:vAlign w:val="center"/>
          </w:tcPr>
          <w:p w14:paraId="0DAEB215"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N/A</w:t>
            </w:r>
          </w:p>
        </w:tc>
      </w:tr>
    </w:tbl>
    <w:p w14:paraId="41C8F396" w14:textId="77777777" w:rsidR="00617539" w:rsidRDefault="00617539">
      <w:pPr>
        <w:pBdr>
          <w:top w:val="nil"/>
          <w:left w:val="nil"/>
          <w:bottom w:val="nil"/>
          <w:right w:val="nil"/>
          <w:between w:val="nil"/>
        </w:pBdr>
        <w:tabs>
          <w:tab w:val="left" w:pos="142"/>
        </w:tabs>
        <w:spacing w:before="120"/>
        <w:ind w:left="360" w:hanging="360"/>
        <w:rPr>
          <w:rFonts w:ascii="Arial" w:eastAsia="Arial" w:hAnsi="Arial"/>
          <w:color w:val="000000"/>
          <w:sz w:val="24"/>
          <w:szCs w:val="24"/>
        </w:rPr>
      </w:pPr>
    </w:p>
    <w:p w14:paraId="791B1B3A" w14:textId="77777777" w:rsidR="00617539" w:rsidRDefault="00C71833">
      <w:pPr>
        <w:pBdr>
          <w:top w:val="nil"/>
          <w:left w:val="nil"/>
          <w:bottom w:val="nil"/>
          <w:right w:val="nil"/>
          <w:between w:val="nil"/>
        </w:pBdr>
        <w:tabs>
          <w:tab w:val="left" w:pos="1134"/>
        </w:tabs>
        <w:spacing w:before="120" w:after="120"/>
        <w:jc w:val="left"/>
        <w:rPr>
          <w:rFonts w:ascii="Arial" w:eastAsia="Arial" w:hAnsi="Arial"/>
          <w:i/>
          <w:color w:val="000000"/>
          <w:sz w:val="24"/>
          <w:szCs w:val="24"/>
        </w:rPr>
      </w:pPr>
      <w:r>
        <w:rPr>
          <w:rFonts w:ascii="Arial" w:eastAsia="Arial" w:hAnsi="Arial"/>
          <w:i/>
          <w:color w:val="000000"/>
          <w:sz w:val="24"/>
          <w:szCs w:val="24"/>
        </w:rPr>
        <w:t xml:space="preserve">For </w:t>
      </w:r>
      <w:r w:rsidR="00501882">
        <w:rPr>
          <w:rFonts w:ascii="Arial" w:eastAsia="Arial" w:hAnsi="Arial"/>
          <w:i/>
          <w:color w:val="000000"/>
          <w:sz w:val="24"/>
          <w:szCs w:val="24"/>
        </w:rPr>
        <w:t>L</w:t>
      </w:r>
      <w:r>
        <w:rPr>
          <w:rFonts w:ascii="Arial" w:eastAsia="Arial" w:hAnsi="Arial"/>
          <w:i/>
          <w:color w:val="000000"/>
          <w:sz w:val="24"/>
          <w:szCs w:val="24"/>
        </w:rPr>
        <w:t xml:space="preserve">ot </w:t>
      </w:r>
      <w:r w:rsidR="00501882">
        <w:rPr>
          <w:rFonts w:ascii="Arial" w:eastAsia="Arial" w:hAnsi="Arial"/>
          <w:i/>
          <w:color w:val="000000"/>
          <w:sz w:val="24"/>
          <w:szCs w:val="24"/>
        </w:rPr>
        <w:t>1, 2 and 5</w:t>
      </w:r>
      <w:r>
        <w:rPr>
          <w:rFonts w:ascii="Arial" w:eastAsia="Arial" w:hAnsi="Arial"/>
          <w:i/>
          <w:color w:val="000000"/>
          <w:sz w:val="24"/>
          <w:szCs w:val="24"/>
        </w:rPr>
        <w:t xml:space="preserve"> Suppliers</w:t>
      </w:r>
    </w:p>
    <w:tbl>
      <w:tblPr>
        <w:tblStyle w:val="a9"/>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617539" w14:paraId="05F68F58" w14:textId="77777777">
        <w:tc>
          <w:tcPr>
            <w:tcW w:w="2253" w:type="dxa"/>
            <w:shd w:val="clear" w:color="auto" w:fill="D9D9D9"/>
            <w:vAlign w:val="center"/>
          </w:tcPr>
          <w:p w14:paraId="3D09EED2" w14:textId="77777777" w:rsidR="00617539" w:rsidRDefault="00C71833">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Indicator</w:t>
            </w:r>
          </w:p>
        </w:tc>
        <w:tc>
          <w:tcPr>
            <w:tcW w:w="1977" w:type="dxa"/>
            <w:shd w:val="clear" w:color="auto" w:fill="D9D9D9"/>
            <w:vAlign w:val="center"/>
          </w:tcPr>
          <w:p w14:paraId="477BCFE3" w14:textId="77777777" w:rsidR="00617539" w:rsidRDefault="00C71833">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Calculation</w:t>
            </w:r>
            <w:r>
              <w:rPr>
                <w:rFonts w:ascii="Arial" w:eastAsia="Arial" w:hAnsi="Arial"/>
                <w:b/>
                <w:color w:val="000000"/>
                <w:sz w:val="24"/>
                <w:szCs w:val="24"/>
                <w:vertAlign w:val="superscript"/>
              </w:rPr>
              <w:t>1</w:t>
            </w:r>
          </w:p>
        </w:tc>
        <w:tc>
          <w:tcPr>
            <w:tcW w:w="1697" w:type="dxa"/>
            <w:shd w:val="clear" w:color="auto" w:fill="D9D9D9"/>
            <w:vAlign w:val="center"/>
          </w:tcPr>
          <w:p w14:paraId="402847C7" w14:textId="77777777" w:rsidR="00617539" w:rsidRDefault="00C71833">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Target Threshold:</w:t>
            </w:r>
          </w:p>
        </w:tc>
        <w:tc>
          <w:tcPr>
            <w:tcW w:w="3089" w:type="dxa"/>
            <w:shd w:val="clear" w:color="auto" w:fill="D9D9D9"/>
            <w:vAlign w:val="center"/>
          </w:tcPr>
          <w:p w14:paraId="198B739E" w14:textId="77777777" w:rsidR="00617539" w:rsidRDefault="00C71833">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Monitoring and Reporting Frequency if different from the default position set out in Paragraph 2.3</w:t>
            </w:r>
            <w:r>
              <w:rPr>
                <w:rFonts w:ascii="Arial" w:eastAsia="Arial" w:hAnsi="Arial"/>
                <w:b/>
                <w:sz w:val="24"/>
                <w:szCs w:val="24"/>
              </w:rPr>
              <w:t>.2</w:t>
            </w:r>
          </w:p>
        </w:tc>
      </w:tr>
      <w:tr w:rsidR="00617539" w14:paraId="4FD3C017" w14:textId="77777777">
        <w:tc>
          <w:tcPr>
            <w:tcW w:w="2253" w:type="dxa"/>
            <w:vAlign w:val="center"/>
          </w:tcPr>
          <w:p w14:paraId="56B20A0C"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14:paraId="66A06DB8"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1977" w:type="dxa"/>
            <w:vAlign w:val="center"/>
          </w:tcPr>
          <w:p w14:paraId="73FA862F"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Operating Margin = Operating Profit / Revenue</w:t>
            </w:r>
          </w:p>
        </w:tc>
        <w:tc>
          <w:tcPr>
            <w:tcW w:w="1697" w:type="dxa"/>
            <w:vAlign w:val="center"/>
          </w:tcPr>
          <w:p w14:paraId="0935CB52"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&gt; 4%</w:t>
            </w:r>
          </w:p>
        </w:tc>
        <w:tc>
          <w:tcPr>
            <w:tcW w:w="3089" w:type="dxa"/>
            <w:vAlign w:val="center"/>
          </w:tcPr>
          <w:p w14:paraId="7EE6C313"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120 days of each accounting reference date based upon figures for the 12 months ending on the relevant accounting reference date</w:t>
            </w:r>
          </w:p>
        </w:tc>
      </w:tr>
      <w:tr w:rsidR="00617539" w14:paraId="720BD2E1" w14:textId="77777777">
        <w:tc>
          <w:tcPr>
            <w:tcW w:w="2253" w:type="dxa"/>
            <w:vAlign w:val="center"/>
          </w:tcPr>
          <w:p w14:paraId="7144751B"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14:paraId="74E503F0"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1977" w:type="dxa"/>
            <w:vAlign w:val="center"/>
          </w:tcPr>
          <w:p w14:paraId="06910E0D"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Debt to EBITDA ratio = Net Debt / EBITDA</w:t>
            </w:r>
          </w:p>
        </w:tc>
        <w:tc>
          <w:tcPr>
            <w:tcW w:w="1697" w:type="dxa"/>
            <w:vAlign w:val="center"/>
          </w:tcPr>
          <w:p w14:paraId="21D91740"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 &lt; 3.5 times</w:t>
            </w:r>
          </w:p>
        </w:tc>
        <w:tc>
          <w:tcPr>
            <w:tcW w:w="3089" w:type="dxa"/>
            <w:vAlign w:val="center"/>
          </w:tcPr>
          <w:p w14:paraId="5A635F25"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120 / 90 days of each accounting reference date based upon EBITDA for the 12 months ending on, and Net Debt at, the relevant accounting reference date</w:t>
            </w:r>
          </w:p>
        </w:tc>
      </w:tr>
      <w:tr w:rsidR="00617539" w14:paraId="5B9683FC" w14:textId="77777777">
        <w:tc>
          <w:tcPr>
            <w:tcW w:w="2253" w:type="dxa"/>
            <w:vAlign w:val="center"/>
          </w:tcPr>
          <w:p w14:paraId="0B778152"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3</w:t>
            </w:r>
          </w:p>
          <w:p w14:paraId="1A680231"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1977" w:type="dxa"/>
            <w:vAlign w:val="center"/>
          </w:tcPr>
          <w:p w14:paraId="09E60E1B"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Interest Paid Cover = Earnings Before Interest and Tax / Net Interest Paid</w:t>
            </w:r>
          </w:p>
        </w:tc>
        <w:tc>
          <w:tcPr>
            <w:tcW w:w="1697" w:type="dxa"/>
            <w:vAlign w:val="center"/>
          </w:tcPr>
          <w:p w14:paraId="655C6144"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&gt; 3 times</w:t>
            </w:r>
          </w:p>
        </w:tc>
        <w:tc>
          <w:tcPr>
            <w:tcW w:w="3089" w:type="dxa"/>
            <w:vAlign w:val="center"/>
          </w:tcPr>
          <w:p w14:paraId="4BF440E5"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120 days of each accounting reference date based upon figures for the 12 months ending on the relevant accounting reference date</w:t>
            </w:r>
          </w:p>
        </w:tc>
      </w:tr>
      <w:tr w:rsidR="00617539" w14:paraId="60B040AD" w14:textId="77777777">
        <w:tc>
          <w:tcPr>
            <w:tcW w:w="2253" w:type="dxa"/>
            <w:vAlign w:val="center"/>
          </w:tcPr>
          <w:p w14:paraId="279935FF"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14:paraId="723CD094"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1977" w:type="dxa"/>
            <w:vAlign w:val="center"/>
          </w:tcPr>
          <w:p w14:paraId="1A1A68DF"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Acid Ratio = (Current Assets – Inventories) / Current Liabilities</w:t>
            </w:r>
          </w:p>
        </w:tc>
        <w:tc>
          <w:tcPr>
            <w:tcW w:w="1697" w:type="dxa"/>
            <w:vAlign w:val="center"/>
          </w:tcPr>
          <w:p w14:paraId="6DD63CD5"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&gt; 0.8 times</w:t>
            </w:r>
          </w:p>
        </w:tc>
        <w:tc>
          <w:tcPr>
            <w:tcW w:w="3089" w:type="dxa"/>
            <w:vAlign w:val="center"/>
          </w:tcPr>
          <w:p w14:paraId="1C915F1F"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120 days of each accounting reference date based upon figures at the relevant accounting reference date</w:t>
            </w:r>
          </w:p>
        </w:tc>
      </w:tr>
      <w:tr w:rsidR="00617539" w14:paraId="539A5BB8" w14:textId="77777777">
        <w:tc>
          <w:tcPr>
            <w:tcW w:w="2253" w:type="dxa"/>
            <w:vAlign w:val="center"/>
          </w:tcPr>
          <w:p w14:paraId="44240AAE"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5</w:t>
            </w:r>
          </w:p>
          <w:p w14:paraId="310B0898"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1977" w:type="dxa"/>
            <w:vAlign w:val="center"/>
          </w:tcPr>
          <w:p w14:paraId="53E31051"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Asset Value = Net Assets</w:t>
            </w:r>
          </w:p>
        </w:tc>
        <w:tc>
          <w:tcPr>
            <w:tcW w:w="1697" w:type="dxa"/>
            <w:vAlign w:val="center"/>
          </w:tcPr>
          <w:p w14:paraId="04E8F547"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&gt; £0</w:t>
            </w:r>
          </w:p>
        </w:tc>
        <w:tc>
          <w:tcPr>
            <w:tcW w:w="3089" w:type="dxa"/>
            <w:vAlign w:val="center"/>
          </w:tcPr>
          <w:p w14:paraId="68A06969"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120 days of each accounting reference date based upon figures at the relevant accounting reference date</w:t>
            </w:r>
          </w:p>
        </w:tc>
      </w:tr>
      <w:tr w:rsidR="00617539" w14:paraId="5E144B28" w14:textId="77777777">
        <w:tc>
          <w:tcPr>
            <w:tcW w:w="2253" w:type="dxa"/>
            <w:vAlign w:val="center"/>
          </w:tcPr>
          <w:p w14:paraId="1B87E3DE"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14:paraId="5BB5DF20"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1977" w:type="dxa"/>
            <w:vAlign w:val="center"/>
          </w:tcPr>
          <w:p w14:paraId="7C0C12C6"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Group Exposure / Gross Assets</w:t>
            </w:r>
          </w:p>
        </w:tc>
        <w:tc>
          <w:tcPr>
            <w:tcW w:w="1697" w:type="dxa"/>
            <w:vAlign w:val="center"/>
          </w:tcPr>
          <w:p w14:paraId="4972C24F"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&lt; 50%</w:t>
            </w:r>
          </w:p>
        </w:tc>
        <w:tc>
          <w:tcPr>
            <w:tcW w:w="3089" w:type="dxa"/>
            <w:vAlign w:val="center"/>
          </w:tcPr>
          <w:p w14:paraId="7760B0EC" w14:textId="77777777" w:rsidR="00617539" w:rsidRDefault="00C71833">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90 days of each accounting reference date based upon figures at the relevant accounting reference date</w:t>
            </w:r>
          </w:p>
        </w:tc>
      </w:tr>
    </w:tbl>
    <w:p w14:paraId="1B488326" w14:textId="77777777" w:rsidR="00617539" w:rsidRDefault="00C71833">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t>Key: 1 – see Annex 3 to this Schedule which sets out the calculation methodology to be used in the calculation of each financial indicator.</w:t>
      </w:r>
    </w:p>
    <w:p w14:paraId="1D04ACB1"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pPr>
      <w:r>
        <w:rPr>
          <w:rFonts w:ascii="Arial" w:eastAsia="Arial" w:hAnsi="Arial"/>
          <w:color w:val="000000"/>
          <w:sz w:val="24"/>
          <w:szCs w:val="24"/>
        </w:rPr>
        <w:t>Monitored Suppliers</w:t>
      </w:r>
      <w:r>
        <w:rPr>
          <w:color w:val="000000"/>
        </w:rPr>
        <w:t xml:space="preserve"> </w:t>
      </w:r>
    </w:p>
    <w:tbl>
      <w:tblPr>
        <w:tblStyle w:val="aa"/>
        <w:tblW w:w="829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617539" w14:paraId="36BBA5F8" w14:textId="77777777">
        <w:tc>
          <w:tcPr>
            <w:tcW w:w="4073" w:type="dxa"/>
            <w:shd w:val="clear" w:color="auto" w:fill="D9D9D9"/>
          </w:tcPr>
          <w:p w14:paraId="0C9B48A5"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Monitored Supplier</w:t>
            </w:r>
          </w:p>
        </w:tc>
        <w:tc>
          <w:tcPr>
            <w:tcW w:w="4223" w:type="dxa"/>
            <w:shd w:val="clear" w:color="auto" w:fill="D9D9D9"/>
          </w:tcPr>
          <w:p w14:paraId="5B62CF80"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Applicable Financial Indicators</w:t>
            </w:r>
          </w:p>
          <w:p w14:paraId="5A5E480C"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bookmarkStart w:id="2" w:name="_heading=h.3whwml4" w:colFirst="0" w:colLast="0"/>
            <w:bookmarkEnd w:id="2"/>
            <w:r>
              <w:rPr>
                <w:rFonts w:ascii="Arial" w:eastAsia="Arial" w:hAnsi="Arial"/>
                <w:color w:val="000000"/>
                <w:sz w:val="24"/>
                <w:szCs w:val="24"/>
              </w:rPr>
              <w:t>(these are the Financial Indicators from the table in Paragraph 5.1 which are to apply to the Monitored Suppliers)</w:t>
            </w:r>
          </w:p>
        </w:tc>
      </w:tr>
      <w:tr w:rsidR="00617539" w14:paraId="7D91797C" w14:textId="77777777">
        <w:tc>
          <w:tcPr>
            <w:tcW w:w="4073" w:type="dxa"/>
          </w:tcPr>
          <w:p w14:paraId="6CE65853" w14:textId="19FB68B7" w:rsidR="00617539" w:rsidRDefault="00B00DEE">
            <w:pPr>
              <w:pBdr>
                <w:top w:val="nil"/>
                <w:left w:val="nil"/>
                <w:bottom w:val="nil"/>
                <w:right w:val="nil"/>
                <w:between w:val="nil"/>
              </w:pBdr>
              <w:spacing w:before="100" w:after="200"/>
              <w:jc w:val="left"/>
              <w:rPr>
                <w:rFonts w:ascii="Arial" w:eastAsia="Arial" w:hAnsi="Arial"/>
                <w:color w:val="000000"/>
                <w:sz w:val="24"/>
                <w:szCs w:val="24"/>
              </w:rPr>
            </w:pPr>
            <w:r w:rsidRPr="00B00DEE">
              <w:rPr>
                <w:rFonts w:ascii="Arial" w:eastAsia="Arial" w:hAnsi="Arial"/>
                <w:color w:val="000000"/>
                <w:sz w:val="24"/>
                <w:szCs w:val="24"/>
              </w:rPr>
              <w:t>NOT USED</w:t>
            </w:r>
          </w:p>
        </w:tc>
        <w:tc>
          <w:tcPr>
            <w:tcW w:w="4223" w:type="dxa"/>
          </w:tcPr>
          <w:p w14:paraId="477DAC78" w14:textId="0020210B" w:rsidR="00617539" w:rsidRDefault="00B00DEE">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NOT USED</w:t>
            </w:r>
          </w:p>
        </w:tc>
      </w:tr>
    </w:tbl>
    <w:p w14:paraId="60061E4C" w14:textId="77777777" w:rsidR="00617539" w:rsidRDefault="00617539">
      <w:pPr>
        <w:pBdr>
          <w:top w:val="nil"/>
          <w:left w:val="nil"/>
          <w:bottom w:val="nil"/>
          <w:right w:val="nil"/>
          <w:between w:val="nil"/>
        </w:pBdr>
        <w:tabs>
          <w:tab w:val="left" w:pos="1134"/>
        </w:tabs>
        <w:spacing w:before="120" w:after="120"/>
        <w:ind w:left="360" w:hanging="1004"/>
        <w:jc w:val="left"/>
        <w:rPr>
          <w:color w:val="000000"/>
        </w:rPr>
      </w:pPr>
    </w:p>
    <w:p w14:paraId="56A4E4F1" w14:textId="77777777" w:rsidR="00617539" w:rsidRDefault="00C71833">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14:paraId="727DD676"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14:paraId="4099910B"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2.3.3;</w:t>
      </w:r>
    </w:p>
    <w:p w14:paraId="74E31D13"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Paragraphs 4.3 to 4.5; and/or</w:t>
      </w:r>
    </w:p>
    <w:p w14:paraId="155B6D87"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the Supplier fails to comply with the terms of the Financial Distress Remediation Plan (or any updated Financial Distress Remediation Plan) in accordance with Paragraph 4.6.3,</w:t>
      </w:r>
    </w:p>
    <w:p w14:paraId="3B174A63" w14:textId="77777777" w:rsidR="00617539" w:rsidRDefault="00C71833">
      <w:pPr>
        <w:pBdr>
          <w:top w:val="nil"/>
          <w:left w:val="nil"/>
          <w:bottom w:val="nil"/>
          <w:right w:val="nil"/>
          <w:between w:val="nil"/>
        </w:pBdr>
        <w:tabs>
          <w:tab w:val="left" w:pos="1985"/>
        </w:tabs>
        <w:spacing w:before="120" w:after="120"/>
        <w:ind w:left="2422" w:hanging="720"/>
        <w:rPr>
          <w:rFonts w:ascii="Arial" w:eastAsia="Arial" w:hAnsi="Arial"/>
          <w:color w:val="000000"/>
          <w:sz w:val="24"/>
          <w:szCs w:val="24"/>
        </w:rPr>
      </w:pPr>
      <w:r>
        <w:rPr>
          <w:rFonts w:ascii="Arial" w:eastAsia="Arial" w:hAnsi="Arial"/>
          <w:color w:val="000000"/>
          <w:sz w:val="24"/>
          <w:szCs w:val="24"/>
        </w:rPr>
        <w:t>which shall be deemed to be an event to which Clause 10.4.1 of the Core Terms applies and Clauses 10.6.1 and 10.6.2 of the Core Terms shall apply accordingly.</w:t>
      </w:r>
    </w:p>
    <w:p w14:paraId="0D159EC8" w14:textId="77777777" w:rsidR="00617539" w:rsidRDefault="00C71833">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Primacy of Credit Ratings</w:t>
      </w:r>
    </w:p>
    <w:p w14:paraId="5CBFB1E6"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68F408A7"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3E5BD417"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4.3.2(b).</w:t>
      </w:r>
    </w:p>
    <w:p w14:paraId="27B945BF" w14:textId="77777777" w:rsidR="00617539" w:rsidRDefault="00C71833">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14:paraId="419942A0"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 Contract has been specified as a Critical Service Contract under Paragraph 1.1 of Part B of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14:paraId="3BB88236"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14:paraId="1DFF9505" w14:textId="77777777" w:rsidR="00617539" w:rsidRDefault="00C71833">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Distress Event.</w:t>
      </w:r>
    </w:p>
    <w:p w14:paraId="1D9B7596"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0BB4C82E"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14:paraId="074C79CB" w14:textId="77777777" w:rsidR="00617539" w:rsidRDefault="00C71833">
      <w:pPr>
        <w:numPr>
          <w:ilvl w:val="1"/>
          <w:numId w:val="1"/>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w:t>
      </w:r>
      <w:r>
        <w:rPr>
          <w:rFonts w:ascii="Arial" w:eastAsia="Arial" w:hAnsi="Arial"/>
          <w:color w:val="000000"/>
          <w:sz w:val="24"/>
          <w:szCs w:val="24"/>
        </w:rPr>
        <w:lastRenderedPageBreak/>
        <w:t>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2F83FA39" w14:textId="77777777" w:rsidR="00617539" w:rsidRDefault="00C71833">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Optional Clauses</w:t>
      </w:r>
    </w:p>
    <w:p w14:paraId="78837B9B" w14:textId="77777777" w:rsidR="00617539" w:rsidRDefault="00C71833">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Where a Buyer’s Call-Off Contract is a Bronze Contract, if specified in the Order Form, the terms at Annex 5 shall apply to the Call-Off Contract in place of the foregoing terms of this Joint Schedule 7. </w:t>
      </w:r>
    </w:p>
    <w:p w14:paraId="44EAFD9C" w14:textId="77777777" w:rsidR="00617539" w:rsidRDefault="00617539">
      <w:pPr>
        <w:pBdr>
          <w:top w:val="nil"/>
          <w:left w:val="nil"/>
          <w:bottom w:val="nil"/>
          <w:right w:val="nil"/>
          <w:between w:val="nil"/>
        </w:pBdr>
        <w:tabs>
          <w:tab w:val="left" w:pos="142"/>
        </w:tabs>
        <w:spacing w:before="120"/>
        <w:ind w:left="360" w:hanging="360"/>
        <w:rPr>
          <w:b/>
          <w:smallCaps/>
          <w:color w:val="000000"/>
        </w:rPr>
      </w:pPr>
    </w:p>
    <w:p w14:paraId="3FF767EF" w14:textId="77777777" w:rsidR="00617539" w:rsidRDefault="00C71833">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14:paraId="7D22B7B6" w14:textId="77777777" w:rsidR="007E5381" w:rsidRDefault="007E5381">
      <w:pPr>
        <w:spacing w:after="200" w:line="276" w:lineRule="auto"/>
        <w:jc w:val="left"/>
        <w:rPr>
          <w:rFonts w:ascii="Arial" w:eastAsia="Arial" w:hAnsi="Arial"/>
          <w:color w:val="000000"/>
          <w:sz w:val="24"/>
          <w:szCs w:val="24"/>
        </w:rPr>
      </w:pPr>
      <w:r w:rsidRPr="007E5381">
        <w:rPr>
          <w:rFonts w:ascii="Arial" w:eastAsia="Arial" w:hAnsi="Arial"/>
          <w:color w:val="000000"/>
          <w:sz w:val="24"/>
          <w:szCs w:val="24"/>
        </w:rPr>
        <w:t>Company Watch “H-Score” score of above 25</w:t>
      </w:r>
    </w:p>
    <w:p w14:paraId="4B94D5A5" w14:textId="66DB239B" w:rsidR="00617539" w:rsidRDefault="007E5381">
      <w:pPr>
        <w:spacing w:after="200" w:line="276" w:lineRule="auto"/>
        <w:jc w:val="left"/>
        <w:rPr>
          <w:rFonts w:ascii="Arial" w:eastAsia="Arial" w:hAnsi="Arial"/>
          <w:sz w:val="24"/>
          <w:szCs w:val="24"/>
        </w:rPr>
      </w:pPr>
      <w:r w:rsidRPr="007E5381">
        <w:rPr>
          <w:rFonts w:ascii="Arial" w:eastAsia="Arial" w:hAnsi="Arial"/>
          <w:color w:val="000000"/>
          <w:sz w:val="24"/>
          <w:szCs w:val="24"/>
        </w:rPr>
        <w:t>Dun and Bradstreet “Rating” score of above 65</w:t>
      </w:r>
      <w:r w:rsidR="00C71833">
        <w:br w:type="page"/>
      </w:r>
    </w:p>
    <w:p w14:paraId="1415576D" w14:textId="77777777" w:rsidR="00617539" w:rsidRDefault="00C71833">
      <w:pPr>
        <w:pBdr>
          <w:top w:val="nil"/>
          <w:left w:val="nil"/>
          <w:bottom w:val="nil"/>
          <w:right w:val="nil"/>
          <w:between w:val="nil"/>
        </w:pBdr>
        <w:spacing w:before="100" w:after="300"/>
        <w:rPr>
          <w:rFonts w:ascii="Arial Bold" w:eastAsia="Arial Bold" w:hAnsi="Arial Bold" w:cs="Arial Bold"/>
          <w:b/>
          <w:smallCaps/>
          <w:color w:val="000000"/>
          <w:sz w:val="24"/>
          <w:szCs w:val="24"/>
        </w:rPr>
      </w:pPr>
      <w:bookmarkStart w:id="3" w:name="_heading=h.2bn6wsx" w:colFirst="0" w:colLast="0"/>
      <w:bookmarkEnd w:id="3"/>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ab"/>
        <w:tblW w:w="924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3081"/>
      </w:tblGrid>
      <w:tr w:rsidR="00DC57B6" w14:paraId="007F7FE4" w14:textId="61D984BF" w:rsidTr="00DC57B6">
        <w:tc>
          <w:tcPr>
            <w:tcW w:w="3080" w:type="dxa"/>
            <w:tcBorders>
              <w:top w:val="single" w:sz="4" w:space="0" w:color="000000"/>
            </w:tcBorders>
            <w:shd w:val="clear" w:color="auto" w:fill="FFFFFF"/>
          </w:tcPr>
          <w:p w14:paraId="0AA07694" w14:textId="77777777" w:rsidR="00DC57B6" w:rsidRDefault="00DC57B6">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68C64DB8" w14:textId="3F6932E8" w:rsidR="00DC57B6" w:rsidRPr="00B4543F" w:rsidRDefault="00CE6CD8">
            <w:pPr>
              <w:keepNext/>
              <w:pBdr>
                <w:top w:val="nil"/>
                <w:left w:val="nil"/>
                <w:bottom w:val="nil"/>
                <w:right w:val="nil"/>
                <w:between w:val="nil"/>
              </w:pBdr>
              <w:spacing w:before="240" w:after="120"/>
              <w:ind w:left="142"/>
              <w:jc w:val="left"/>
              <w:rPr>
                <w:rFonts w:ascii="Arial" w:eastAsia="Arial" w:hAnsi="Arial"/>
                <w:b/>
                <w:bCs/>
                <w:color w:val="000000"/>
                <w:sz w:val="24"/>
                <w:szCs w:val="24"/>
              </w:rPr>
            </w:pPr>
            <w:r>
              <w:rPr>
                <w:rFonts w:ascii="Arial" w:eastAsia="Arial" w:hAnsi="Arial"/>
                <w:b/>
                <w:bCs/>
                <w:color w:val="000000"/>
                <w:sz w:val="24"/>
                <w:szCs w:val="24"/>
              </w:rPr>
              <w:t xml:space="preserve">Minimum </w:t>
            </w:r>
            <w:r w:rsidR="00DC57B6" w:rsidRPr="00B4543F">
              <w:rPr>
                <w:rFonts w:ascii="Arial" w:eastAsia="Arial" w:hAnsi="Arial"/>
                <w:b/>
                <w:bCs/>
                <w:color w:val="000000"/>
                <w:sz w:val="24"/>
                <w:szCs w:val="24"/>
              </w:rPr>
              <w:t>Company Watch “H-Score”</w:t>
            </w:r>
          </w:p>
        </w:tc>
        <w:tc>
          <w:tcPr>
            <w:tcW w:w="3081" w:type="dxa"/>
            <w:tcBorders>
              <w:top w:val="single" w:sz="4" w:space="0" w:color="000000"/>
            </w:tcBorders>
            <w:shd w:val="clear" w:color="auto" w:fill="FFFFFF"/>
          </w:tcPr>
          <w:p w14:paraId="70C6904A" w14:textId="23E9B0F3" w:rsidR="00DC57B6" w:rsidRDefault="00CE6CD8">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 xml:space="preserve">Minimum </w:t>
            </w:r>
            <w:r w:rsidR="00B4543F" w:rsidRPr="00B4543F">
              <w:rPr>
                <w:rFonts w:ascii="Arial" w:eastAsia="Arial" w:hAnsi="Arial"/>
                <w:b/>
                <w:color w:val="000000"/>
                <w:sz w:val="24"/>
                <w:szCs w:val="24"/>
              </w:rPr>
              <w:t>Dun and Bradstreet “Rating”</w:t>
            </w:r>
          </w:p>
        </w:tc>
      </w:tr>
      <w:tr w:rsidR="00DC57B6" w14:paraId="172DD670" w14:textId="55B90C5E" w:rsidTr="00DC57B6">
        <w:tc>
          <w:tcPr>
            <w:tcW w:w="3080" w:type="dxa"/>
            <w:shd w:val="clear" w:color="auto" w:fill="FFFFFF"/>
          </w:tcPr>
          <w:p w14:paraId="44C08853" w14:textId="77777777" w:rsidR="00DC57B6" w:rsidRDefault="00DC57B6">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4BFDD700" w14:textId="77777777" w:rsidR="00DC57B6" w:rsidRDefault="00DC57B6">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25</w:t>
            </w:r>
          </w:p>
        </w:tc>
        <w:tc>
          <w:tcPr>
            <w:tcW w:w="3081" w:type="dxa"/>
            <w:shd w:val="clear" w:color="auto" w:fill="FFFFFF"/>
          </w:tcPr>
          <w:p w14:paraId="371C5D86" w14:textId="5E883F5E" w:rsidR="00DC57B6" w:rsidRDefault="00E60C38">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65</w:t>
            </w:r>
          </w:p>
        </w:tc>
      </w:tr>
      <w:tr w:rsidR="00DC57B6" w14:paraId="28DBA27A" w14:textId="0660AEFE" w:rsidTr="00DC57B6">
        <w:tc>
          <w:tcPr>
            <w:tcW w:w="3080" w:type="dxa"/>
            <w:shd w:val="clear" w:color="auto" w:fill="FFFFFF"/>
          </w:tcPr>
          <w:p w14:paraId="5BC113FC" w14:textId="7404ECF7" w:rsidR="00DC57B6" w:rsidRPr="00CE6CD8" w:rsidRDefault="00DC57B6">
            <w:pPr>
              <w:keepNext/>
              <w:pBdr>
                <w:top w:val="nil"/>
                <w:left w:val="nil"/>
                <w:bottom w:val="nil"/>
                <w:right w:val="nil"/>
                <w:between w:val="nil"/>
              </w:pBdr>
              <w:spacing w:before="240" w:after="120"/>
              <w:ind w:left="142"/>
              <w:jc w:val="left"/>
              <w:rPr>
                <w:rFonts w:ascii="Arial" w:eastAsia="Arial" w:hAnsi="Arial"/>
                <w:color w:val="000000"/>
                <w:sz w:val="24"/>
                <w:szCs w:val="24"/>
              </w:rPr>
            </w:pPr>
            <w:r w:rsidRPr="00CE6CD8">
              <w:rPr>
                <w:rFonts w:ascii="Arial" w:eastAsia="Arial" w:hAnsi="Arial"/>
                <w:color w:val="000000"/>
                <w:sz w:val="24"/>
                <w:szCs w:val="24"/>
              </w:rPr>
              <w:t>Guarantor</w:t>
            </w:r>
          </w:p>
        </w:tc>
        <w:tc>
          <w:tcPr>
            <w:tcW w:w="3081" w:type="dxa"/>
            <w:shd w:val="clear" w:color="auto" w:fill="FFFFFF"/>
          </w:tcPr>
          <w:p w14:paraId="17FCFDAB" w14:textId="1171D8F4" w:rsidR="00DC57B6" w:rsidRPr="00CE6CD8" w:rsidRDefault="00DC57B6">
            <w:pPr>
              <w:keepNext/>
              <w:pBdr>
                <w:top w:val="nil"/>
                <w:left w:val="nil"/>
                <w:bottom w:val="nil"/>
                <w:right w:val="nil"/>
                <w:between w:val="nil"/>
              </w:pBdr>
              <w:spacing w:before="240" w:after="120"/>
              <w:ind w:left="142"/>
              <w:jc w:val="left"/>
              <w:rPr>
                <w:rFonts w:ascii="Arial" w:eastAsia="Arial" w:hAnsi="Arial"/>
                <w:color w:val="000000"/>
                <w:sz w:val="24"/>
                <w:szCs w:val="24"/>
              </w:rPr>
            </w:pPr>
            <w:r w:rsidRPr="00CE6CD8">
              <w:rPr>
                <w:rFonts w:ascii="Arial" w:eastAsia="Arial" w:hAnsi="Arial"/>
                <w:color w:val="000000"/>
                <w:sz w:val="24"/>
                <w:szCs w:val="24"/>
              </w:rPr>
              <w:t>25</w:t>
            </w:r>
          </w:p>
        </w:tc>
        <w:tc>
          <w:tcPr>
            <w:tcW w:w="3081" w:type="dxa"/>
            <w:shd w:val="clear" w:color="auto" w:fill="FFFFFF"/>
          </w:tcPr>
          <w:p w14:paraId="4625FFBE" w14:textId="46B525C5" w:rsidR="00DC57B6" w:rsidRPr="00CE6CD8" w:rsidRDefault="00E60C38">
            <w:pPr>
              <w:keepNext/>
              <w:pBdr>
                <w:top w:val="nil"/>
                <w:left w:val="nil"/>
                <w:bottom w:val="nil"/>
                <w:right w:val="nil"/>
                <w:between w:val="nil"/>
              </w:pBdr>
              <w:spacing w:before="240" w:after="120"/>
              <w:ind w:left="142"/>
              <w:jc w:val="left"/>
              <w:rPr>
                <w:rFonts w:ascii="Arial" w:eastAsia="Arial" w:hAnsi="Arial"/>
                <w:color w:val="000000"/>
                <w:sz w:val="24"/>
                <w:szCs w:val="24"/>
              </w:rPr>
            </w:pPr>
            <w:r w:rsidRPr="00CE6CD8">
              <w:rPr>
                <w:rFonts w:ascii="Arial" w:eastAsia="Arial" w:hAnsi="Arial"/>
                <w:color w:val="000000"/>
                <w:sz w:val="24"/>
                <w:szCs w:val="24"/>
              </w:rPr>
              <w:t>65</w:t>
            </w:r>
          </w:p>
        </w:tc>
      </w:tr>
      <w:tr w:rsidR="00DC57B6" w14:paraId="7429C5BE" w14:textId="41222C92" w:rsidTr="00DC57B6">
        <w:tc>
          <w:tcPr>
            <w:tcW w:w="3080" w:type="dxa"/>
            <w:tcBorders>
              <w:bottom w:val="single" w:sz="4" w:space="0" w:color="000000"/>
            </w:tcBorders>
            <w:shd w:val="clear" w:color="auto" w:fill="FFFFFF"/>
          </w:tcPr>
          <w:p w14:paraId="3B0BC5B6" w14:textId="217A831E" w:rsidR="00DC57B6" w:rsidRPr="00CE6CD8" w:rsidRDefault="00DC57B6">
            <w:pPr>
              <w:keepNext/>
              <w:pBdr>
                <w:top w:val="nil"/>
                <w:left w:val="nil"/>
                <w:bottom w:val="nil"/>
                <w:right w:val="nil"/>
                <w:between w:val="nil"/>
              </w:pBdr>
              <w:spacing w:before="240" w:after="120"/>
              <w:ind w:left="142"/>
              <w:jc w:val="left"/>
              <w:rPr>
                <w:rFonts w:ascii="Arial" w:eastAsia="Arial" w:hAnsi="Arial"/>
                <w:color w:val="000000"/>
                <w:sz w:val="24"/>
                <w:szCs w:val="24"/>
              </w:rPr>
            </w:pPr>
            <w:r w:rsidRPr="00CE6CD8">
              <w:rPr>
                <w:rFonts w:ascii="Arial" w:eastAsia="Arial" w:hAnsi="Arial"/>
                <w:color w:val="000000"/>
                <w:sz w:val="24"/>
                <w:szCs w:val="24"/>
              </w:rPr>
              <w:t>Key Subcontractor</w:t>
            </w:r>
          </w:p>
        </w:tc>
        <w:tc>
          <w:tcPr>
            <w:tcW w:w="3081" w:type="dxa"/>
            <w:tcBorders>
              <w:bottom w:val="single" w:sz="4" w:space="0" w:color="000000"/>
            </w:tcBorders>
            <w:shd w:val="clear" w:color="auto" w:fill="FFFFFF"/>
          </w:tcPr>
          <w:p w14:paraId="6EB40A62" w14:textId="579CBA3E" w:rsidR="00DC57B6" w:rsidRPr="00CE6CD8" w:rsidRDefault="00DC57B6">
            <w:pPr>
              <w:keepNext/>
              <w:pBdr>
                <w:top w:val="nil"/>
                <w:left w:val="nil"/>
                <w:bottom w:val="nil"/>
                <w:right w:val="nil"/>
                <w:between w:val="nil"/>
              </w:pBdr>
              <w:spacing w:before="240" w:after="120"/>
              <w:ind w:left="142"/>
              <w:jc w:val="left"/>
              <w:rPr>
                <w:rFonts w:ascii="Arial" w:eastAsia="Arial" w:hAnsi="Arial"/>
                <w:color w:val="000000"/>
                <w:sz w:val="24"/>
                <w:szCs w:val="24"/>
              </w:rPr>
            </w:pPr>
            <w:r w:rsidRPr="00CE6CD8">
              <w:rPr>
                <w:rFonts w:ascii="Arial" w:eastAsia="Arial" w:hAnsi="Arial"/>
                <w:color w:val="000000"/>
                <w:sz w:val="24"/>
                <w:szCs w:val="24"/>
              </w:rPr>
              <w:t>25</w:t>
            </w:r>
          </w:p>
        </w:tc>
        <w:tc>
          <w:tcPr>
            <w:tcW w:w="3081" w:type="dxa"/>
            <w:tcBorders>
              <w:bottom w:val="single" w:sz="4" w:space="0" w:color="000000"/>
            </w:tcBorders>
            <w:shd w:val="clear" w:color="auto" w:fill="FFFFFF"/>
          </w:tcPr>
          <w:p w14:paraId="5714C1F7" w14:textId="1CA2146D" w:rsidR="00DC57B6" w:rsidRPr="00CE6CD8" w:rsidRDefault="00E60C38">
            <w:pPr>
              <w:keepNext/>
              <w:pBdr>
                <w:top w:val="nil"/>
                <w:left w:val="nil"/>
                <w:bottom w:val="nil"/>
                <w:right w:val="nil"/>
                <w:between w:val="nil"/>
              </w:pBdr>
              <w:spacing w:before="240" w:after="120"/>
              <w:ind w:left="142"/>
              <w:jc w:val="left"/>
              <w:rPr>
                <w:rFonts w:ascii="Arial" w:eastAsia="Arial" w:hAnsi="Arial"/>
                <w:color w:val="000000"/>
                <w:sz w:val="24"/>
                <w:szCs w:val="24"/>
              </w:rPr>
            </w:pPr>
            <w:r w:rsidRPr="00CE6CD8">
              <w:rPr>
                <w:rFonts w:ascii="Arial" w:eastAsia="Arial" w:hAnsi="Arial"/>
                <w:color w:val="000000"/>
                <w:sz w:val="24"/>
                <w:szCs w:val="24"/>
              </w:rPr>
              <w:t>65</w:t>
            </w:r>
          </w:p>
        </w:tc>
      </w:tr>
    </w:tbl>
    <w:p w14:paraId="3DEEC669"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3656B9AB" w14:textId="77777777" w:rsidR="00617539" w:rsidRDefault="00C71833">
      <w:pPr>
        <w:spacing w:after="200" w:line="276" w:lineRule="auto"/>
        <w:jc w:val="left"/>
        <w:rPr>
          <w:rFonts w:ascii="Arial" w:eastAsia="Arial" w:hAnsi="Arial"/>
          <w:sz w:val="24"/>
          <w:szCs w:val="24"/>
        </w:rPr>
      </w:pPr>
      <w:r>
        <w:br w:type="page"/>
      </w:r>
    </w:p>
    <w:p w14:paraId="44A951B3"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Annex 3: Calculation methodology for Financial Indicators</w:t>
      </w:r>
    </w:p>
    <w:p w14:paraId="025F0747"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bookmarkStart w:id="4" w:name="_heading=h.qsh70q" w:colFirst="0" w:colLast="0"/>
      <w:bookmarkEnd w:id="4"/>
      <w:r>
        <w:rPr>
          <w:rFonts w:ascii="Arial" w:eastAsia="Arial" w:hAnsi="Arial"/>
          <w:color w:val="000000"/>
          <w:sz w:val="24"/>
          <w:szCs w:val="24"/>
        </w:rPr>
        <w:t>The Supplier shall ensure that it uses the following general and specific methodologies for calculating the Financial Indicators against the Financial Target Thresholds:</w:t>
      </w:r>
    </w:p>
    <w:p w14:paraId="5B502977"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14:paraId="4F590DE3" w14:textId="77777777" w:rsidR="00617539" w:rsidRDefault="00C71833">
      <w:pPr>
        <w:numPr>
          <w:ilvl w:val="0"/>
          <w:numId w:val="2"/>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11CFFF61" w14:textId="77777777" w:rsidR="00617539" w:rsidRDefault="00C71833">
      <w:pPr>
        <w:numPr>
          <w:ilvl w:val="0"/>
          <w:numId w:val="2"/>
        </w:numPr>
        <w:pBdr>
          <w:top w:val="nil"/>
          <w:left w:val="nil"/>
          <w:bottom w:val="nil"/>
          <w:right w:val="nil"/>
          <w:between w:val="nil"/>
        </w:pBdr>
        <w:spacing w:before="100" w:after="200"/>
        <w:jc w:val="left"/>
        <w:rPr>
          <w:rFonts w:ascii="Arial" w:eastAsia="Arial" w:hAnsi="Arial"/>
          <w:color w:val="000000"/>
          <w:sz w:val="24"/>
          <w:szCs w:val="24"/>
        </w:rPr>
      </w:pPr>
      <w:bookmarkStart w:id="5" w:name="_heading=h.3as4poj" w:colFirst="0" w:colLast="0"/>
      <w:bookmarkEnd w:id="5"/>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14:paraId="677BE1D6" w14:textId="77777777" w:rsidR="00617539" w:rsidRDefault="00C71833">
      <w:pPr>
        <w:numPr>
          <w:ilvl w:val="0"/>
          <w:numId w:val="2"/>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 foreign currencies should be converted at the exchange rate in force at the relevant date for which the Financial Indicator is being calculated.</w:t>
      </w:r>
    </w:p>
    <w:p w14:paraId="55AAE6A0" w14:textId="77777777" w:rsidR="00617539" w:rsidRDefault="00C71833">
      <w:pPr>
        <w:numPr>
          <w:ilvl w:val="0"/>
          <w:numId w:val="2"/>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statements before adjusting for non-underlying items.</w:t>
      </w:r>
    </w:p>
    <w:p w14:paraId="603F3B43" w14:textId="77777777" w:rsidR="00617539" w:rsidRDefault="00C71833">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c"/>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617539" w14:paraId="66DB46A9" w14:textId="77777777">
        <w:tc>
          <w:tcPr>
            <w:tcW w:w="2538" w:type="dxa"/>
            <w:shd w:val="clear" w:color="auto" w:fill="D9D9D9"/>
          </w:tcPr>
          <w:p w14:paraId="22BDC671"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14:paraId="1C422FB1"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617539" w14:paraId="474DDD1C" w14:textId="77777777">
        <w:tc>
          <w:tcPr>
            <w:tcW w:w="2538" w:type="dxa"/>
            <w:vAlign w:val="center"/>
          </w:tcPr>
          <w:p w14:paraId="249FAAB8"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14:paraId="75679BE3"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6478" w:type="dxa"/>
          </w:tcPr>
          <w:p w14:paraId="45023F33"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elements used to calculate the Operating Margin should be shown on the face of the Income Statement in a standard set of financial statements.</w:t>
            </w:r>
          </w:p>
          <w:p w14:paraId="0793CF92"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Figures for Operating Profit and Revenue should exclude the entity’s share of the results of any joint ventures or Associates.</w:t>
            </w:r>
          </w:p>
          <w:p w14:paraId="676B077C"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an entity has an operating loss (i.e. where the operating profit is negative), Operating Profit should be taken to be zero.</w:t>
            </w:r>
          </w:p>
        </w:tc>
      </w:tr>
      <w:tr w:rsidR="00617539" w14:paraId="5B3992D2" w14:textId="77777777">
        <w:tc>
          <w:tcPr>
            <w:tcW w:w="2538" w:type="dxa"/>
          </w:tcPr>
          <w:p w14:paraId="78E884CA"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14:paraId="3565E96D"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Free Cash Flow to Net Debt Ratio</w:t>
            </w:r>
          </w:p>
          <w:p w14:paraId="45FB0818"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049F31CB"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53128261"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62486C05"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4101652C"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4B99056E"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1299C43A"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4DDBEF00"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3461D779"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3CF2D8B6"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0FB78278"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1FC39945"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0562CB0E"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34CE0A41"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62EBF3C5"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6D98A12B"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2946DB82"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5997CC1D"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110FFD37"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6B699379"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3FE9F23F"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1F72F646"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08CE6F91"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61CDCEAD"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6BB9E253"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23DE523C"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52E56223"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5B2C5192"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14:paraId="7DD9D047"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6478" w:type="dxa"/>
          </w:tcPr>
          <w:p w14:paraId="746A87F9" w14:textId="77777777" w:rsidR="00617539" w:rsidRDefault="00C71833">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Free Cash Flow</w:t>
            </w:r>
            <w:r>
              <w:rPr>
                <w:rFonts w:ascii="Arial" w:eastAsia="Arial" w:hAnsi="Arial"/>
                <w:i/>
                <w:color w:val="000000"/>
                <w:sz w:val="24"/>
                <w:szCs w:val="24"/>
              </w:rPr>
              <w:t>” = Net Cash Flow from Operating Activities – Capital Expenditure</w:t>
            </w:r>
          </w:p>
          <w:p w14:paraId="1DA10140" w14:textId="77777777" w:rsidR="00617539" w:rsidRDefault="00C71833">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Capital Expenditure</w:t>
            </w:r>
            <w:r>
              <w:rPr>
                <w:rFonts w:ascii="Arial" w:eastAsia="Arial" w:hAnsi="Arial"/>
                <w:i/>
                <w:color w:val="000000"/>
                <w:sz w:val="24"/>
                <w:szCs w:val="24"/>
              </w:rPr>
              <w:t>” = Purchase of property, plant &amp; equipment + purchase of intangible assets</w:t>
            </w:r>
          </w:p>
          <w:p w14:paraId="2B8DDA7F" w14:textId="77777777" w:rsidR="00617539" w:rsidRDefault="00C71833">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1E73B2E1"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Free Cash Flow to Net Debt Ratio should be shown on the face </w:t>
            </w:r>
            <w:r>
              <w:rPr>
                <w:rFonts w:ascii="Arial" w:eastAsia="Arial" w:hAnsi="Arial"/>
                <w:color w:val="000000"/>
                <w:sz w:val="24"/>
                <w:szCs w:val="24"/>
              </w:rPr>
              <w:lastRenderedPageBreak/>
              <w:t>of the Statement of Cash Flows and the Balance Sheet in a standard set of financial statements.</w:t>
            </w:r>
          </w:p>
          <w:p w14:paraId="1CFE2678"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Cash Flow from Operating Activities</w:t>
            </w:r>
            <w:r>
              <w:rPr>
                <w:rFonts w:ascii="Arial" w:eastAsia="Arial" w:hAnsi="Arial"/>
                <w:color w:val="000000"/>
                <w:sz w:val="24"/>
                <w:szCs w:val="24"/>
              </w:rPr>
              <w:t>: This should be stated after deduction of interest and tax paid.</w:t>
            </w:r>
          </w:p>
          <w:p w14:paraId="5AAFE4EE"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Capital expenditure</w:t>
            </w:r>
            <w:r>
              <w:rPr>
                <w:rFonts w:ascii="Arial" w:eastAsia="Arial" w:hAnsi="Arial"/>
                <w:color w:val="000000"/>
                <w:sz w:val="24"/>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79E753E3"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14:paraId="5EAF7A28"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6C02F2FB"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2E742A0F"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is negative (i.e. an entity has net cash), the relevant Financial Target Threshold should be treated as having been met.</w:t>
            </w:r>
          </w:p>
          <w:p w14:paraId="3642C392"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OR</w:t>
            </w:r>
          </w:p>
          <w:p w14:paraId="7B3CC147" w14:textId="77777777" w:rsidR="00617539" w:rsidRDefault="00C71833">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0F4B5344" w14:textId="77777777" w:rsidR="00617539" w:rsidRDefault="00C71833">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789FD34F"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3B10A271"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lastRenderedPageBreak/>
              <w:t>Net Debt</w:t>
            </w:r>
            <w:r>
              <w:rPr>
                <w:rFonts w:ascii="Arial" w:eastAsia="Arial" w:hAnsi="Arial"/>
                <w:color w:val="000000"/>
                <w:sz w:val="24"/>
                <w:szCs w:val="24"/>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7C17BE48"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5303C04B"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19781607"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Where Net debt is negative (i.e. an entity has net cash), the relevant Financial Target Threshold should be treated as having been met. </w:t>
            </w:r>
          </w:p>
          <w:p w14:paraId="62287927" w14:textId="77777777" w:rsidR="00617539" w:rsidRDefault="00C71833">
            <w:pPr>
              <w:pBdr>
                <w:top w:val="nil"/>
                <w:left w:val="nil"/>
                <w:bottom w:val="nil"/>
                <w:right w:val="nil"/>
                <w:between w:val="nil"/>
              </w:pBdr>
              <w:spacing w:before="100" w:after="200"/>
              <w:jc w:val="left"/>
              <w:rPr>
                <w:rFonts w:ascii="Arial" w:eastAsia="Arial" w:hAnsi="Arial"/>
                <w:i/>
                <w:color w:val="000000"/>
                <w:sz w:val="24"/>
                <w:szCs w:val="24"/>
              </w:rPr>
            </w:pPr>
            <w:bookmarkStart w:id="6" w:name="_heading=h.1pxezwc" w:colFirst="0" w:colLast="0"/>
            <w:bookmarkEnd w:id="6"/>
            <w:r>
              <w:rPr>
                <w:rFonts w:ascii="Arial" w:eastAsia="Arial" w:hAnsi="Arial"/>
                <w:i/>
                <w:color w:val="000000"/>
                <w:sz w:val="24"/>
                <w:szCs w:val="24"/>
                <w:u w:val="single"/>
              </w:rPr>
              <w:t>EBITDA</w:t>
            </w:r>
            <w:r>
              <w:rPr>
                <w:rFonts w:ascii="Arial" w:eastAsia="Arial" w:hAnsi="Arial"/>
                <w:color w:val="000000"/>
                <w:sz w:val="24"/>
                <w:szCs w:val="24"/>
              </w:rPr>
              <w:t xml:space="preserve">: Operating profit should be shown on the face of the Income Statement and, for the purposes of calculating this Financial Indicator, should include the entity’s share of the results of any joint ventures or Associates. </w:t>
            </w:r>
            <w:r>
              <w:rPr>
                <w:rFonts w:ascii="Arial" w:eastAsia="Arial" w:hAnsi="Arial"/>
                <w:i/>
                <w:color w:val="000000"/>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617539" w14:paraId="54D43DD2" w14:textId="77777777">
        <w:tc>
          <w:tcPr>
            <w:tcW w:w="2538" w:type="dxa"/>
          </w:tcPr>
          <w:p w14:paraId="7A036E3D"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14:paraId="41EBCE4F"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 Net  Pension Deficit to EBITDA ratio</w:t>
            </w:r>
          </w:p>
        </w:tc>
        <w:tc>
          <w:tcPr>
            <w:tcW w:w="6478" w:type="dxa"/>
          </w:tcPr>
          <w:p w14:paraId="53132938" w14:textId="77777777" w:rsidR="00617539" w:rsidRDefault="00C71833">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14:paraId="228EB1CD" w14:textId="77777777" w:rsidR="00617539" w:rsidRDefault="00C71833">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Pension Deficit</w:t>
            </w:r>
            <w:r>
              <w:rPr>
                <w:rFonts w:ascii="Arial" w:eastAsia="Arial" w:hAnsi="Arial"/>
                <w:i/>
                <w:color w:val="000000"/>
                <w:sz w:val="24"/>
                <w:szCs w:val="24"/>
              </w:rPr>
              <w:t>” = Retirement Benefit Obligations – Retirement Benefit Assets</w:t>
            </w:r>
          </w:p>
          <w:p w14:paraId="2549EF6F" w14:textId="77777777" w:rsidR="00617539" w:rsidRDefault="00C71833">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14:paraId="5F5878F0"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6BA028F2"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w:t>
            </w:r>
            <w:r>
              <w:rPr>
                <w:rFonts w:ascii="Arial" w:eastAsia="Arial" w:hAnsi="Arial"/>
                <w:color w:val="000000"/>
                <w:sz w:val="24"/>
                <w:szCs w:val="24"/>
              </w:rPr>
              <w:lastRenderedPageBreak/>
              <w:t xml:space="preserve">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Pr>
                <w:rFonts w:ascii="Arial" w:eastAsia="Arial" w:hAnsi="Arial"/>
                <w:i/>
                <w:color w:val="000000"/>
                <w:sz w:val="24"/>
                <w:szCs w:val="24"/>
              </w:rPr>
              <w:t>not</w:t>
            </w:r>
            <w:r>
              <w:rPr>
                <w:rFonts w:ascii="Arial" w:eastAsia="Arial" w:hAnsi="Arial"/>
                <w:color w:val="000000"/>
                <w:sz w:val="24"/>
                <w:szCs w:val="24"/>
              </w:rPr>
              <w:t xml:space="preserve"> non-designated hedges). Borrowings should also include balances owed to other group members.</w:t>
            </w:r>
          </w:p>
          <w:p w14:paraId="5FA6FA27"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14:paraId="507E9025"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14:paraId="1A80230E"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Pension Deficit</w:t>
            </w:r>
            <w:r>
              <w:rPr>
                <w:rFonts w:ascii="Arial" w:eastAsia="Arial" w:hAnsi="Arial"/>
                <w:color w:val="000000"/>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6ED4926A"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 Net Pension Deficit’ is negative, the relevant Financial Target Threshold should be treated as having been met.</w:t>
            </w:r>
          </w:p>
          <w:p w14:paraId="51ED4216"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14:paraId="7415F369"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bookmarkStart w:id="7" w:name="_heading=h.49x2ik5" w:colFirst="0" w:colLast="0"/>
            <w:bookmarkEnd w:id="7"/>
            <w:r>
              <w:rPr>
                <w:rFonts w:ascii="Arial" w:eastAsia="Arial" w:hAnsi="Arial"/>
                <w:color w:val="000000"/>
                <w:sz w:val="24"/>
                <w:szCs w:val="24"/>
              </w:rPr>
              <w:t xml:space="preserve">The depreciation and amortisation charges for the period may be found on the face of the Statement of Cash Flows or in a Note to the Accounts. </w:t>
            </w:r>
          </w:p>
          <w:p w14:paraId="6AF3F2B9"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617539" w14:paraId="41BFCED0" w14:textId="77777777">
        <w:tc>
          <w:tcPr>
            <w:tcW w:w="2538" w:type="dxa"/>
            <w:vAlign w:val="center"/>
          </w:tcPr>
          <w:p w14:paraId="7C964D78"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14:paraId="0441486F"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6478" w:type="dxa"/>
          </w:tcPr>
          <w:p w14:paraId="2AF51499" w14:textId="77777777" w:rsidR="00617539" w:rsidRDefault="00C71833">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Earnings Before Interest and Tax</w:t>
            </w:r>
            <w:r>
              <w:rPr>
                <w:rFonts w:ascii="Arial" w:eastAsia="Arial" w:hAnsi="Arial"/>
                <w:i/>
                <w:color w:val="000000"/>
                <w:sz w:val="24"/>
                <w:szCs w:val="24"/>
              </w:rPr>
              <w:t>” = Operating profit</w:t>
            </w:r>
          </w:p>
          <w:p w14:paraId="3C70B444" w14:textId="77777777" w:rsidR="00617539" w:rsidRDefault="00C71833">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Interest Paid</w:t>
            </w:r>
            <w:r>
              <w:rPr>
                <w:rFonts w:ascii="Arial" w:eastAsia="Arial" w:hAnsi="Arial"/>
                <w:i/>
                <w:color w:val="000000"/>
                <w:sz w:val="24"/>
                <w:szCs w:val="24"/>
              </w:rPr>
              <w:t>” = Interest paid – Interest received</w:t>
            </w:r>
          </w:p>
          <w:p w14:paraId="05745A2A"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18925CA9"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lastRenderedPageBreak/>
              <w:t>Interest received and interest paid should be shown on the face of the Cash Flow statement.</w:t>
            </w:r>
          </w:p>
          <w:p w14:paraId="17A92622"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interest paid is negative (i.e. the entity has net interest received), the relevant Financial Target Threshold should be treated as having been met.</w:t>
            </w:r>
          </w:p>
        </w:tc>
      </w:tr>
      <w:tr w:rsidR="00617539" w14:paraId="580C5517" w14:textId="77777777">
        <w:tc>
          <w:tcPr>
            <w:tcW w:w="2538" w:type="dxa"/>
            <w:vAlign w:val="center"/>
          </w:tcPr>
          <w:p w14:paraId="76DB90EB"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5</w:t>
            </w:r>
          </w:p>
          <w:p w14:paraId="507C4EB9"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6478" w:type="dxa"/>
          </w:tcPr>
          <w:p w14:paraId="1F2D334B"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All elements that are used to calculate the Acid Ratio are available on the face of the Balance Sheet in a standard set of financial statements.</w:t>
            </w:r>
          </w:p>
        </w:tc>
      </w:tr>
      <w:tr w:rsidR="00617539" w14:paraId="0A0B4346" w14:textId="77777777">
        <w:tc>
          <w:tcPr>
            <w:tcW w:w="2538" w:type="dxa"/>
            <w:vAlign w:val="center"/>
          </w:tcPr>
          <w:p w14:paraId="1946A7AE"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14:paraId="5F9E0EEB"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6478" w:type="dxa"/>
          </w:tcPr>
          <w:p w14:paraId="61D3FE05"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617539" w14:paraId="15BC2AAB" w14:textId="77777777">
        <w:tc>
          <w:tcPr>
            <w:tcW w:w="2538" w:type="dxa"/>
            <w:vAlign w:val="center"/>
          </w:tcPr>
          <w:p w14:paraId="109B8484"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14:paraId="2CF304BB"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6478" w:type="dxa"/>
          </w:tcPr>
          <w:p w14:paraId="76CF6C08" w14:textId="77777777" w:rsidR="00617539" w:rsidRDefault="00C71833">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Group Exposure</w:t>
            </w:r>
            <w:r>
              <w:rPr>
                <w:rFonts w:ascii="Arial" w:eastAsia="Arial" w:hAnsi="Arial"/>
                <w:i/>
                <w:color w:val="000000"/>
                <w:sz w:val="24"/>
                <w:szCs w:val="24"/>
              </w:rPr>
              <w:t>” = Balances owed by Group Undertakings + Contingent liabilities assumed in support of Group Undertakings</w:t>
            </w:r>
          </w:p>
          <w:p w14:paraId="73F3EC5F" w14:textId="77777777" w:rsidR="00617539" w:rsidRDefault="00C71833">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Gross Assets</w:t>
            </w:r>
            <w:r>
              <w:rPr>
                <w:rFonts w:ascii="Arial" w:eastAsia="Arial" w:hAnsi="Arial"/>
                <w:i/>
                <w:color w:val="000000"/>
                <w:sz w:val="24"/>
                <w:szCs w:val="24"/>
              </w:rPr>
              <w:t>” = Fixed Assets + Current Assets</w:t>
            </w:r>
          </w:p>
          <w:p w14:paraId="1D3E895B"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Group Exposure</w:t>
            </w:r>
            <w:r>
              <w:rPr>
                <w:rFonts w:ascii="Arial" w:eastAsia="Arial" w:hAnsi="Arial"/>
                <w:color w:val="000000"/>
                <w:sz w:val="24"/>
                <w:szCs w:val="24"/>
              </w:rPr>
              <w:t>:  Balances owed by (</w:t>
            </w:r>
            <w:proofErr w:type="spellStart"/>
            <w:r>
              <w:rPr>
                <w:rFonts w:ascii="Arial" w:eastAsia="Arial" w:hAnsi="Arial"/>
                <w:color w:val="000000"/>
                <w:sz w:val="24"/>
                <w:szCs w:val="24"/>
              </w:rPr>
              <w:t>ie</w:t>
            </w:r>
            <w:proofErr w:type="spellEnd"/>
            <w:r>
              <w:rPr>
                <w:rFonts w:ascii="Arial" w:eastAsia="Arial" w:hAnsi="Arial"/>
                <w:color w:val="000000"/>
                <w:sz w:val="24"/>
                <w:szCs w:val="24"/>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6089AAAF"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113FCF56"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In many cases an entity may not have assumed any contingent liabilities in support of Group Undertakings, in </w:t>
            </w:r>
            <w:r>
              <w:rPr>
                <w:rFonts w:ascii="Arial" w:eastAsia="Arial" w:hAnsi="Arial"/>
                <w:color w:val="000000"/>
                <w:sz w:val="24"/>
                <w:szCs w:val="24"/>
              </w:rPr>
              <w:lastRenderedPageBreak/>
              <w:t>particular where an entity is not a member of a group or is itself the ultimate holding company of the group.</w:t>
            </w:r>
          </w:p>
          <w:p w14:paraId="1E4B2BB2" w14:textId="77777777" w:rsidR="00617539" w:rsidRDefault="00C71833">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Gross Assets</w:t>
            </w:r>
            <w:r>
              <w:rPr>
                <w:rFonts w:ascii="Arial" w:eastAsia="Arial" w:hAnsi="Arial"/>
                <w:color w:val="000000"/>
                <w:sz w:val="24"/>
                <w:szCs w:val="24"/>
              </w:rPr>
              <w:t>: Both Fixed assets and Current assets are shown on the face of the Balance Sheet</w:t>
            </w:r>
          </w:p>
        </w:tc>
      </w:tr>
    </w:tbl>
    <w:p w14:paraId="07547A01"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5043CB0F" w14:textId="77777777" w:rsidR="00617539" w:rsidRDefault="00C71833">
      <w:pPr>
        <w:spacing w:after="200" w:line="276" w:lineRule="auto"/>
        <w:jc w:val="left"/>
        <w:rPr>
          <w:rFonts w:ascii="Arial" w:eastAsia="Arial" w:hAnsi="Arial"/>
          <w:sz w:val="24"/>
          <w:szCs w:val="24"/>
        </w:rPr>
      </w:pPr>
      <w:r>
        <w:br w:type="page"/>
      </w:r>
    </w:p>
    <w:p w14:paraId="0FBB797F" w14:textId="77777777" w:rsidR="00617539" w:rsidRDefault="00C71833">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8" w:name="_heading=h.2p2csry" w:colFirst="0" w:colLast="0"/>
      <w:bookmarkEnd w:id="8"/>
      <w:r>
        <w:rPr>
          <w:rFonts w:ascii="Arial Bold" w:eastAsia="Arial Bold" w:hAnsi="Arial Bold" w:cs="Arial Bold"/>
          <w:b/>
          <w:smallCaps/>
          <w:color w:val="000000"/>
          <w:sz w:val="24"/>
          <w:szCs w:val="24"/>
        </w:rPr>
        <w:lastRenderedPageBreak/>
        <w:t>Annex 4: Board Confirmation</w:t>
      </w:r>
    </w:p>
    <w:p w14:paraId="6530E554"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14:paraId="56B4E965" w14:textId="77777777" w:rsidR="00617539" w:rsidRDefault="00C71833">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14:paraId="07459315"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38B33FC6" w14:textId="77777777" w:rsidR="00617539" w:rsidRDefault="00C71833">
      <w:pPr>
        <w:pBdr>
          <w:top w:val="nil"/>
          <w:left w:val="nil"/>
          <w:bottom w:val="nil"/>
          <w:right w:val="nil"/>
          <w:between w:val="nil"/>
        </w:pBdr>
        <w:spacing w:before="100" w:after="200"/>
        <w:ind w:left="720"/>
        <w:jc w:val="left"/>
        <w:rPr>
          <w:rFonts w:ascii="Arial" w:eastAsia="Arial" w:hAnsi="Arial"/>
          <w:color w:val="000000"/>
          <w:sz w:val="24"/>
          <w:szCs w:val="24"/>
        </w:rPr>
      </w:pPr>
      <w:bookmarkStart w:id="9" w:name="_heading=h.147n2zr" w:colFirst="0" w:colLast="0"/>
      <w:bookmarkEnd w:id="9"/>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14:paraId="39B14471" w14:textId="77777777" w:rsidR="00617539" w:rsidRDefault="00C71833">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14:paraId="27CF5C69" w14:textId="77777777" w:rsidR="00617539" w:rsidRDefault="00C71833">
      <w:pPr>
        <w:numPr>
          <w:ilvl w:val="3"/>
          <w:numId w:val="2"/>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14:paraId="7EA3965D" w14:textId="77777777" w:rsidR="00617539" w:rsidRDefault="00C71833">
      <w:pPr>
        <w:numPr>
          <w:ilvl w:val="3"/>
          <w:numId w:val="2"/>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 Event</w:t>
      </w:r>
    </w:p>
    <w:p w14:paraId="6537F28F"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04A9F5ED" w14:textId="77777777" w:rsidR="00617539" w:rsidRDefault="00C71833">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14:paraId="6DFB9E20"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4C89E6EC" w14:textId="77777777" w:rsidR="00617539" w:rsidRDefault="00C71833">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14:paraId="2B935B86" w14:textId="77777777" w:rsidR="00617539" w:rsidRDefault="00C71833">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18BC425B" w14:textId="77777777" w:rsidR="00617539" w:rsidRDefault="00C71833">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70DF9E56"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4E27DA7B" w14:textId="77777777" w:rsidR="00617539" w:rsidRDefault="00C71833">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14:paraId="16BE4163" w14:textId="77777777" w:rsidR="00617539" w:rsidRDefault="00C71833">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14:paraId="3D69DF51" w14:textId="77777777" w:rsidR="00617539" w:rsidRDefault="00C71833">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14:paraId="44E871BC" w14:textId="77777777" w:rsidR="00617539" w:rsidRDefault="00617539">
      <w:pPr>
        <w:pBdr>
          <w:top w:val="nil"/>
          <w:left w:val="nil"/>
          <w:bottom w:val="nil"/>
          <w:right w:val="nil"/>
          <w:between w:val="nil"/>
        </w:pBdr>
        <w:spacing w:before="100" w:after="200"/>
        <w:jc w:val="left"/>
        <w:rPr>
          <w:rFonts w:ascii="Arial" w:eastAsia="Arial" w:hAnsi="Arial"/>
          <w:color w:val="000000"/>
          <w:sz w:val="24"/>
          <w:szCs w:val="24"/>
        </w:rPr>
      </w:pPr>
    </w:p>
    <w:p w14:paraId="144A5D23" w14:textId="77777777" w:rsidR="00617539" w:rsidRDefault="00C71833">
      <w:pPr>
        <w:spacing w:after="200" w:line="276" w:lineRule="auto"/>
        <w:jc w:val="left"/>
        <w:rPr>
          <w:rFonts w:ascii="Arial" w:eastAsia="Arial" w:hAnsi="Arial"/>
          <w:sz w:val="36"/>
          <w:szCs w:val="36"/>
        </w:rPr>
      </w:pPr>
      <w:r>
        <w:br w:type="page"/>
      </w:r>
    </w:p>
    <w:p w14:paraId="738610EB" w14:textId="77777777" w:rsidR="00617539" w:rsidRDefault="00617539">
      <w:pPr>
        <w:spacing w:after="200" w:line="276" w:lineRule="auto"/>
        <w:jc w:val="left"/>
        <w:rPr>
          <w:rFonts w:ascii="Arial" w:eastAsia="Arial" w:hAnsi="Arial"/>
          <w:sz w:val="36"/>
          <w:szCs w:val="36"/>
        </w:rPr>
      </w:pPr>
    </w:p>
    <w:p w14:paraId="59CB504C" w14:textId="4B87C82B" w:rsidR="00617539" w:rsidRDefault="00C71833">
      <w:pPr>
        <w:spacing w:after="200" w:line="276" w:lineRule="auto"/>
        <w:jc w:val="left"/>
        <w:rPr>
          <w:rFonts w:ascii="Arial" w:eastAsia="Arial" w:hAnsi="Arial"/>
          <w:b/>
          <w:smallCaps/>
          <w:sz w:val="36"/>
          <w:szCs w:val="36"/>
        </w:rPr>
      </w:pPr>
      <w:r>
        <w:rPr>
          <w:rFonts w:ascii="Arial" w:eastAsia="Arial" w:hAnsi="Arial"/>
          <w:b/>
          <w:smallCaps/>
          <w:sz w:val="36"/>
          <w:szCs w:val="36"/>
        </w:rPr>
        <w:t>ANNEX 5: OPTIONAL CLAUSES FOR BRONZE CONTRACTS</w:t>
      </w:r>
      <w:r w:rsidR="00B00DEE">
        <w:rPr>
          <w:rFonts w:ascii="Arial" w:eastAsia="Arial" w:hAnsi="Arial"/>
          <w:b/>
          <w:smallCaps/>
          <w:sz w:val="36"/>
          <w:szCs w:val="36"/>
        </w:rPr>
        <w:t xml:space="preserve"> – NOT USED</w:t>
      </w:r>
    </w:p>
    <w:p w14:paraId="400C4EBA" w14:textId="77777777" w:rsidR="00617539" w:rsidRDefault="00C71833">
      <w:pPr>
        <w:keepNext/>
        <w:numPr>
          <w:ilvl w:val="0"/>
          <w:numId w:val="3"/>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4355857B" w14:textId="77777777" w:rsidR="00617539" w:rsidRDefault="00C71833">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Annex 5, the following words shall have the following meanings and they shall supplement Joint Schedule 1 (Definitions):</w:t>
      </w:r>
    </w:p>
    <w:tbl>
      <w:tblPr>
        <w:tblStyle w:val="ad"/>
        <w:tblW w:w="756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2"/>
        <w:gridCol w:w="5098"/>
      </w:tblGrid>
      <w:tr w:rsidR="00617539" w14:paraId="58CB8073" w14:textId="77777777" w:rsidTr="6A057AB8">
        <w:tc>
          <w:tcPr>
            <w:tcW w:w="2462" w:type="dxa"/>
          </w:tcPr>
          <w:p w14:paraId="2E9974C8" w14:textId="77777777" w:rsidR="00617539" w:rsidRDefault="00C7183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4C45FE62" w14:textId="77777777" w:rsidR="00617539" w:rsidRDefault="00C71833">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Appendix 2;</w:t>
            </w:r>
          </w:p>
        </w:tc>
      </w:tr>
      <w:tr w:rsidR="00617539" w14:paraId="551CB730" w14:textId="77777777" w:rsidTr="6A057AB8">
        <w:tc>
          <w:tcPr>
            <w:tcW w:w="2462" w:type="dxa"/>
          </w:tcPr>
          <w:p w14:paraId="622A48A9" w14:textId="77777777" w:rsidR="00617539" w:rsidRDefault="00C7183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098" w:type="dxa"/>
          </w:tcPr>
          <w:p w14:paraId="4C3E3AD4" w14:textId="77777777" w:rsidR="00617539" w:rsidRDefault="00C71833">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14:paraId="6B58C80B" w14:textId="77777777" w:rsidR="00617539" w:rsidRDefault="00C71833">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2718011E" w14:textId="77777777" w:rsidR="00617539" w:rsidRDefault="00C71833">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05E60AA2" w14:textId="77777777" w:rsidR="00617539" w:rsidRDefault="00C71833">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14:paraId="324D2EEE" w14:textId="77777777" w:rsidR="00617539" w:rsidRDefault="00C71833">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3D75E47B" w14:textId="44ECF92E" w:rsidR="00617539" w:rsidRDefault="00C71833" w:rsidP="6A057AB8">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sidRPr="6A057AB8">
              <w:rPr>
                <w:rFonts w:ascii="Arial" w:eastAsia="Arial" w:hAnsi="Arial"/>
                <w:color w:val="000000" w:themeColor="text1"/>
                <w:sz w:val="24"/>
                <w:szCs w:val="24"/>
              </w:rPr>
              <w:t xml:space="preserve">a Key Subcontractor (where applicable) notifying </w:t>
            </w:r>
            <w:r w:rsidR="567CADD0" w:rsidRPr="6A057AB8">
              <w:rPr>
                <w:rFonts w:ascii="Arial" w:eastAsia="Arial" w:hAnsi="Arial"/>
                <w:color w:val="000000" w:themeColor="text1"/>
                <w:sz w:val="24"/>
                <w:szCs w:val="24"/>
              </w:rPr>
              <w:t>NHS LPP</w:t>
            </w:r>
            <w:r w:rsidRPr="6A057AB8">
              <w:rPr>
                <w:rFonts w:ascii="Arial" w:eastAsia="Arial" w:hAnsi="Arial"/>
                <w:color w:val="000000" w:themeColor="text1"/>
                <w:sz w:val="24"/>
                <w:szCs w:val="24"/>
              </w:rPr>
              <w:t xml:space="preserve"> that the Supplier has not satisfied any sums properly due under a specified invoice and not subject to a genuine dispute; or</w:t>
            </w:r>
          </w:p>
          <w:p w14:paraId="043B558D" w14:textId="77777777" w:rsidR="00617539" w:rsidRDefault="00C71833">
            <w:pPr>
              <w:numPr>
                <w:ilvl w:val="1"/>
                <w:numId w:val="4"/>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7DF1BFF3" w14:textId="77777777" w:rsidR="00617539" w:rsidRDefault="00C71833">
            <w:pPr>
              <w:numPr>
                <w:ilvl w:val="2"/>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4B8E05F4" w14:textId="77777777" w:rsidR="00617539" w:rsidRDefault="00C71833">
            <w:pPr>
              <w:numPr>
                <w:ilvl w:val="2"/>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4BDAD221" w14:textId="77777777" w:rsidR="00617539" w:rsidRDefault="00C71833">
            <w:pPr>
              <w:numPr>
                <w:ilvl w:val="2"/>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any financial indebtedness of the Monitored Company becoming due as a result of an event of default; or</w:t>
            </w:r>
          </w:p>
          <w:p w14:paraId="2BF5637E" w14:textId="77777777" w:rsidR="00617539" w:rsidRDefault="00C71833">
            <w:pPr>
              <w:numPr>
                <w:ilvl w:val="2"/>
                <w:numId w:val="4"/>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the Monitored Company</w:t>
            </w:r>
          </w:p>
          <w:p w14:paraId="6C05DABA" w14:textId="77777777" w:rsidR="00617539" w:rsidRDefault="00C71833">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617539" w14:paraId="75D25722" w14:textId="77777777" w:rsidTr="6A057AB8">
        <w:tc>
          <w:tcPr>
            <w:tcW w:w="2462" w:type="dxa"/>
          </w:tcPr>
          <w:p w14:paraId="29358E20" w14:textId="77777777" w:rsidR="00617539" w:rsidRDefault="00C7183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3894B9AC" w14:textId="77777777" w:rsidR="00617539" w:rsidRDefault="00C71833">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617539" w14:paraId="71062BF6" w14:textId="77777777" w:rsidTr="6A057AB8">
        <w:tc>
          <w:tcPr>
            <w:tcW w:w="2462" w:type="dxa"/>
          </w:tcPr>
          <w:p w14:paraId="1C8E0924" w14:textId="77777777" w:rsidR="00617539" w:rsidRDefault="00C7183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37B80C83" w14:textId="77777777" w:rsidR="00617539" w:rsidRDefault="00C71833">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[the Guarantor] or any Key Subcontractor]</w:t>
            </w:r>
          </w:p>
        </w:tc>
      </w:tr>
      <w:tr w:rsidR="00617539" w14:paraId="46B068E1" w14:textId="77777777" w:rsidTr="6A057AB8">
        <w:tc>
          <w:tcPr>
            <w:tcW w:w="2462" w:type="dxa"/>
          </w:tcPr>
          <w:p w14:paraId="7E6ECA03" w14:textId="77777777" w:rsidR="00617539" w:rsidRDefault="00C71833">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690543CF" w14:textId="77777777" w:rsidR="00617539" w:rsidRDefault="00C71833">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the rating agencies listed in Appendix 1.</w:t>
            </w:r>
          </w:p>
        </w:tc>
      </w:tr>
    </w:tbl>
    <w:p w14:paraId="1B9CBEFA" w14:textId="77777777" w:rsidR="00617539" w:rsidRDefault="00C71833">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0" w:name="_heading=h.3o7alnk" w:colFirst="0" w:colLast="0"/>
      <w:bookmarkEnd w:id="10"/>
      <w:r>
        <w:rPr>
          <w:rFonts w:ascii="Arial Bold" w:eastAsia="Arial Bold" w:hAnsi="Arial Bold" w:cs="Arial Bold"/>
          <w:b/>
          <w:color w:val="000000"/>
          <w:sz w:val="24"/>
          <w:szCs w:val="24"/>
        </w:rPr>
        <w:t>When this Schedule applies</w:t>
      </w:r>
    </w:p>
    <w:p w14:paraId="0988EB1A" w14:textId="77777777" w:rsidR="00617539" w:rsidRDefault="00C71833">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Annex 5 in relation to the assessment of the financial standing of the Monitored Companies and the consequences of a change to that financial standing.</w:t>
      </w:r>
    </w:p>
    <w:p w14:paraId="10EA9331" w14:textId="77777777" w:rsidR="00617539" w:rsidRDefault="00C71833">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Annex 5 shall survive: </w:t>
      </w:r>
    </w:p>
    <w:p w14:paraId="5C39F427" w14:textId="77777777" w:rsidR="00617539" w:rsidRDefault="00C71833">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511759D9" w14:textId="77777777" w:rsidR="00617539" w:rsidRDefault="00C71833">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14:paraId="01A0E371" w14:textId="77777777" w:rsidR="00617539" w:rsidRDefault="00C71833">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1156C499" w14:textId="77777777" w:rsidR="00617539" w:rsidRDefault="00C71833">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3ckvvd" w:colFirst="0" w:colLast="0"/>
      <w:bookmarkEnd w:id="11"/>
      <w:r>
        <w:rPr>
          <w:rFonts w:ascii="Arial" w:eastAsia="Arial" w:hAnsi="Arial"/>
          <w:color w:val="000000"/>
          <w:sz w:val="24"/>
          <w:szCs w:val="24"/>
        </w:rPr>
        <w:t xml:space="preserve">The Supplier warrants and represents to the Relevant Authority that as at the Start Date the long term credit ratings issued for the Monitored Companies by each of the Rating Agencies are as set out in Appendix 2. </w:t>
      </w:r>
    </w:p>
    <w:p w14:paraId="0468D2D1" w14:textId="77777777" w:rsidR="00617539" w:rsidRDefault="00C71833">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the Relevant Authority in writing if there is any downgrade in the credit rating issued by any Rating Agency for a Monitored Company.</w:t>
      </w:r>
    </w:p>
    <w:p w14:paraId="7D568BEE" w14:textId="77777777" w:rsidR="00617539" w:rsidRDefault="00C71833">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If there is any downgrade credit rating issued by any Rating Agency for the Monitored Company the Supplier shall ensure that the Monitored Company’s auditors thereafter provide the Relevant Authority within 10 Working Days of </w:t>
      </w:r>
      <w:r>
        <w:rPr>
          <w:rFonts w:ascii="Arial" w:eastAsia="Arial" w:hAnsi="Arial"/>
          <w:color w:val="000000"/>
          <w:sz w:val="24"/>
          <w:szCs w:val="24"/>
        </w:rPr>
        <w:lastRenderedPageBreak/>
        <w:t>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  For these purposes the "quick ratio" on any date means:</w:t>
      </w:r>
    </w:p>
    <w:p w14:paraId="637805D2" w14:textId="77777777" w:rsidR="00617539" w:rsidRDefault="00C71833">
      <w:pPr>
        <w:ind w:firstLine="1134"/>
        <w:jc w:val="left"/>
        <w:rPr>
          <w:rFonts w:ascii="Arial" w:eastAsia="Arial" w:hAnsi="Arial"/>
          <w:sz w:val="24"/>
          <w:szCs w:val="24"/>
        </w:rPr>
      </w:pPr>
      <w:r>
        <w:rPr>
          <w:rFonts w:ascii="Arial" w:eastAsia="Arial" w:hAnsi="Arial"/>
          <w:noProof/>
          <w:sz w:val="24"/>
          <w:szCs w:val="24"/>
        </w:rPr>
        <w:drawing>
          <wp:inline distT="0" distB="0" distL="0" distR="0" wp14:anchorId="622DA5D9" wp14:editId="07777777">
            <wp:extent cx="609600" cy="163195"/>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2F7F1844" wp14:editId="07777777">
            <wp:extent cx="609600" cy="315595"/>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609600" cy="315595"/>
                    </a:xfrm>
                    <a:prstGeom prst="rect">
                      <a:avLst/>
                    </a:prstGeom>
                    <a:ln/>
                  </pic:spPr>
                </pic:pic>
              </a:graphicData>
            </a:graphic>
          </wp:inline>
        </w:drawing>
      </w:r>
    </w:p>
    <w:p w14:paraId="490EF1CF" w14:textId="77777777" w:rsidR="00617539" w:rsidRDefault="00C71833">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e"/>
        <w:tblW w:w="831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gridCol w:w="6793"/>
      </w:tblGrid>
      <w:tr w:rsidR="00617539" w14:paraId="5D348F5E" w14:textId="77777777">
        <w:tc>
          <w:tcPr>
            <w:tcW w:w="1524" w:type="dxa"/>
          </w:tcPr>
          <w:p w14:paraId="5316D17B" w14:textId="77777777" w:rsidR="00617539" w:rsidRDefault="00C7183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4FEC330C" w14:textId="77777777" w:rsidR="00617539" w:rsidRDefault="00C71833">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617539" w14:paraId="4C48482B" w14:textId="77777777">
        <w:tc>
          <w:tcPr>
            <w:tcW w:w="1524" w:type="dxa"/>
          </w:tcPr>
          <w:p w14:paraId="61ED4E73" w14:textId="77777777" w:rsidR="00617539" w:rsidRDefault="00C7183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04F3F955" w14:textId="77777777" w:rsidR="00617539" w:rsidRDefault="00C7183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617539" w14:paraId="02D57521" w14:textId="77777777">
        <w:tc>
          <w:tcPr>
            <w:tcW w:w="1524" w:type="dxa"/>
          </w:tcPr>
          <w:p w14:paraId="37AAF844" w14:textId="77777777" w:rsidR="00617539" w:rsidRDefault="00C7183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7952EB3E" w14:textId="77777777" w:rsidR="00617539" w:rsidRDefault="00C7183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617539" w14:paraId="6B016F7E" w14:textId="77777777">
        <w:tc>
          <w:tcPr>
            <w:tcW w:w="1524" w:type="dxa"/>
          </w:tcPr>
          <w:p w14:paraId="61740529" w14:textId="77777777" w:rsidR="00617539" w:rsidRDefault="00C7183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52E5812B" w14:textId="77777777" w:rsidR="00617539" w:rsidRDefault="00C71833">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25228E2A" w14:textId="77777777" w:rsidR="00617539" w:rsidRDefault="00C71833">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ihv636" w:colFirst="0" w:colLast="0"/>
      <w:bookmarkEnd w:id="12"/>
      <w:r>
        <w:rPr>
          <w:rFonts w:ascii="Arial" w:eastAsia="Arial" w:hAnsi="Arial"/>
          <w:color w:val="000000"/>
          <w:sz w:val="24"/>
          <w:szCs w:val="24"/>
        </w:rPr>
        <w:t xml:space="preserve">The Supplier shall: </w:t>
      </w:r>
    </w:p>
    <w:p w14:paraId="4999B10B" w14:textId="77777777" w:rsidR="00617539" w:rsidRDefault="00C71833">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62146562" w14:textId="77777777" w:rsidR="00617539" w:rsidRDefault="00C71833">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2hioqz" w:colFirst="0" w:colLast="0"/>
      <w:bookmarkEnd w:id="13"/>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49D00BA1" w14:textId="77777777" w:rsidR="00617539" w:rsidRDefault="00C71833">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17570C84" w14:textId="77777777" w:rsidR="00617539" w:rsidRDefault="00C71833">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452E8894" w14:textId="77777777" w:rsidR="00617539" w:rsidRDefault="00C71833">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4" w:name="_heading=h.1hmsyys" w:colFirst="0" w:colLast="0"/>
      <w:bookmarkEnd w:id="14"/>
      <w:r>
        <w:rPr>
          <w:rFonts w:ascii="Arial" w:eastAsia="Arial" w:hAnsi="Arial"/>
          <w:color w:val="000000"/>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14:paraId="1DE7249F" w14:textId="77777777" w:rsidR="00617539" w:rsidRDefault="00C71833">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highlight w:val="yellow"/>
        </w:rPr>
      </w:pPr>
      <w:bookmarkStart w:id="15" w:name="_heading=h.41mghml" w:colFirst="0" w:colLast="0"/>
      <w:bookmarkEnd w:id="15"/>
      <w:r>
        <w:rPr>
          <w:rFonts w:ascii="Arial" w:eastAsia="Arial" w:hAnsi="Arial"/>
          <w:color w:val="000000"/>
          <w:sz w:val="24"/>
          <w:szCs w:val="24"/>
        </w:rPr>
        <w:lastRenderedPageBreak/>
        <w:t>[</w:t>
      </w:r>
      <w:r>
        <w:rPr>
          <w:rFonts w:ascii="Arial" w:eastAsia="Arial" w:hAnsi="Arial"/>
          <w:color w:val="000000"/>
          <w:sz w:val="24"/>
          <w:szCs w:val="24"/>
          <w:highlight w:val="yellow"/>
        </w:rPr>
        <w:t>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14:paraId="086CF321" w14:textId="77777777" w:rsidR="00617539" w:rsidRDefault="00C71833">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rectify such late or non-payment; or </w:t>
      </w:r>
    </w:p>
    <w:p w14:paraId="3C40D0CF" w14:textId="77777777" w:rsidR="00617539" w:rsidRDefault="00C71833">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highlight w:val="yellow"/>
        </w:rPr>
      </w:pPr>
      <w:r>
        <w:rPr>
          <w:rFonts w:ascii="Arial" w:eastAsia="Arial" w:hAnsi="Arial"/>
          <w:color w:val="000000"/>
          <w:sz w:val="24"/>
          <w:szCs w:val="24"/>
          <w:highlight w:val="yellow"/>
        </w:rPr>
        <w:t>demonstrate to the Relevant Authority's reasonable satisfaction that there is a valid reason for late or non-payment.]</w:t>
      </w:r>
    </w:p>
    <w:p w14:paraId="23FC4EB1" w14:textId="77777777" w:rsidR="00617539" w:rsidRDefault="00C71833">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vx1227" w:colFirst="0" w:colLast="0"/>
      <w:bookmarkEnd w:id="16"/>
      <w:r>
        <w:rPr>
          <w:rFonts w:ascii="Arial" w:eastAsia="Arial" w:hAnsi="Arial"/>
          <w:color w:val="000000"/>
          <w:sz w:val="24"/>
          <w:szCs w:val="24"/>
        </w:rPr>
        <w:t>The Supplier shall and shall procure that the other Monitored Companies shall:</w:t>
      </w:r>
    </w:p>
    <w:p w14:paraId="68AA4004" w14:textId="77777777" w:rsidR="00617539" w:rsidRDefault="00C71833">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7" w:name="_heading=h.3fwokq0" w:colFirst="0" w:colLast="0"/>
      <w:bookmarkEnd w:id="17"/>
      <w:r>
        <w:rPr>
          <w:rFonts w:ascii="Arial" w:eastAsia="Arial" w:hAnsi="Arial"/>
          <w:color w:val="000000"/>
          <w:sz w:val="24"/>
          <w:szCs w:val="24"/>
        </w:rPr>
        <w:t>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54BB25C5" w14:textId="77777777" w:rsidR="00617539" w:rsidRDefault="00C71833">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8" w:name="_heading=h.1v1yuxt" w:colFirst="0" w:colLast="0"/>
      <w:bookmarkEnd w:id="18"/>
      <w:r>
        <w:rPr>
          <w:rFonts w:ascii="Arial" w:eastAsia="Arial" w:hAnsi="Arial"/>
          <w:color w:val="000000"/>
          <w:sz w:val="24"/>
          <w:szCs w:val="24"/>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14:paraId="2132742D" w14:textId="77777777" w:rsidR="00617539" w:rsidRDefault="00C71833">
      <w:pPr>
        <w:numPr>
          <w:ilvl w:val="3"/>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Service Continuity Plan as soon as reasonably practicable (and in any event, within ten (10) Working Days of the initial notification (or awareness) of the Financial Distress Event); and</w:t>
      </w:r>
    </w:p>
    <w:p w14:paraId="3F43B51F" w14:textId="77777777" w:rsidR="00617539" w:rsidRDefault="00C71833">
      <w:pPr>
        <w:numPr>
          <w:ilvl w:val="3"/>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9" w:name="_heading=h.4f1mdlm" w:colFirst="0" w:colLast="0"/>
      <w:bookmarkEnd w:id="19"/>
      <w:r>
        <w:rPr>
          <w:rFonts w:ascii="Arial" w:eastAsia="Arial" w:hAnsi="Arial"/>
          <w:color w:val="000000"/>
          <w:sz w:val="24"/>
          <w:szCs w:val="24"/>
        </w:rPr>
        <w:t>provide such financial information relating to the Monitored Company as the Relevant Authority may reasonably require.</w:t>
      </w:r>
    </w:p>
    <w:p w14:paraId="1FE215F0" w14:textId="77777777" w:rsidR="00617539" w:rsidRDefault="00C71833">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0" w:name="_heading=h.2u6wntf" w:colFirst="0" w:colLast="0"/>
      <w:bookmarkEnd w:id="20"/>
      <w:r>
        <w:rPr>
          <w:rFonts w:ascii="Arial" w:eastAsia="Arial" w:hAnsi="Arial"/>
          <w:color w:val="000000"/>
          <w:sz w:val="24"/>
          <w:szCs w:val="24"/>
        </w:rPr>
        <w:t>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14:paraId="206A5795" w14:textId="77777777" w:rsidR="00617539" w:rsidRDefault="00C71833">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1" w:name="_heading=h.19c6y18" w:colFirst="0" w:colLast="0"/>
      <w:bookmarkEnd w:id="21"/>
      <w:r>
        <w:rPr>
          <w:rFonts w:ascii="Arial" w:eastAsia="Arial" w:hAnsi="Arial"/>
          <w:color w:val="000000"/>
          <w:sz w:val="24"/>
          <w:szCs w:val="24"/>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w:t>
      </w:r>
      <w:r>
        <w:rPr>
          <w:rFonts w:ascii="Arial" w:eastAsia="Arial" w:hAnsi="Arial"/>
          <w:color w:val="000000"/>
          <w:sz w:val="24"/>
          <w:szCs w:val="24"/>
        </w:rPr>
        <w:lastRenderedPageBreak/>
        <w:t xml:space="preserve">draft Financial Distress Service Continuity Plan using the Dispute Resolution Procedure. </w:t>
      </w:r>
    </w:p>
    <w:p w14:paraId="3C1D910F" w14:textId="77777777" w:rsidR="00617539" w:rsidRDefault="00C71833">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2" w:name="_heading=h.3tbugp1" w:colFirst="0" w:colLast="0"/>
      <w:bookmarkEnd w:id="22"/>
      <w:r>
        <w:rPr>
          <w:rFonts w:ascii="Arial" w:eastAsia="Arial" w:hAnsi="Arial"/>
          <w:color w:val="000000"/>
          <w:sz w:val="24"/>
          <w:szCs w:val="24"/>
        </w:rPr>
        <w:t>Following Approval of the Financial Distress Service Continuity Plan by the Relevant Authority, the Supplier shall:</w:t>
      </w:r>
    </w:p>
    <w:p w14:paraId="699AACDF" w14:textId="77777777" w:rsidR="00617539" w:rsidRDefault="00C71833">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3" w:name="_heading=h.28h4qwu" w:colFirst="0" w:colLast="0"/>
      <w:bookmarkEnd w:id="23"/>
      <w:r>
        <w:rPr>
          <w:rFonts w:ascii="Arial" w:eastAsia="Arial" w:hAnsi="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14:paraId="713F64E0" w14:textId="6930ED0F" w:rsidR="00617539" w:rsidRDefault="00C71833" w:rsidP="6A057AB8">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4" w:name="_heading=h.nmf14n"/>
      <w:bookmarkEnd w:id="24"/>
      <w:r w:rsidRPr="6A057AB8">
        <w:rPr>
          <w:rFonts w:ascii="Arial" w:eastAsia="Arial" w:hAnsi="Arial"/>
          <w:color w:val="000000" w:themeColor="text1"/>
          <w:sz w:val="24"/>
          <w:szCs w:val="24"/>
        </w:rPr>
        <w:t xml:space="preserve">where the Financial Distress Service Continuity Plan is not adequate or up to date in accordance with Paragraph 4.6.1, submit an updated Financial Distress Service Continuity Plan to </w:t>
      </w:r>
      <w:r w:rsidR="567CADD0" w:rsidRPr="6A057AB8">
        <w:rPr>
          <w:rFonts w:ascii="Arial" w:eastAsia="Arial" w:hAnsi="Arial"/>
          <w:color w:val="000000" w:themeColor="text1"/>
          <w:sz w:val="24"/>
          <w:szCs w:val="24"/>
        </w:rPr>
        <w:t>NHS LPP</w:t>
      </w:r>
      <w:r w:rsidRPr="6A057AB8">
        <w:rPr>
          <w:rFonts w:ascii="Arial" w:eastAsia="Arial" w:hAnsi="Arial"/>
          <w:color w:val="000000" w:themeColor="text1"/>
          <w:sz w:val="24"/>
          <w:szCs w:val="24"/>
        </w:rPr>
        <w:t xml:space="preserve"> for its Approval, and the provisions of Paragraphs 4.5 and 4.6 shall apply to the review and Approval process for the updated Financial Distress Service Continuity Plan; and </w:t>
      </w:r>
    </w:p>
    <w:p w14:paraId="00D25448" w14:textId="77777777" w:rsidR="00617539" w:rsidRDefault="00C71833">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5" w:name="_heading=h.37m2jsg" w:colFirst="0" w:colLast="0"/>
      <w:bookmarkEnd w:id="25"/>
      <w:r>
        <w:rPr>
          <w:rFonts w:ascii="Arial" w:eastAsia="Arial" w:hAnsi="Arial"/>
          <w:color w:val="000000"/>
          <w:sz w:val="24"/>
          <w:szCs w:val="24"/>
        </w:rPr>
        <w:t>comply with the Financial Distress Service Continuity Plan (including any updated Financial Distress Service Continuity Plan).</w:t>
      </w:r>
    </w:p>
    <w:p w14:paraId="0F2A95ED" w14:textId="77777777" w:rsidR="00617539" w:rsidRDefault="00C71833">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6" w:name="_heading=h.1mrcu09" w:colFirst="0" w:colLast="0"/>
      <w:bookmarkEnd w:id="26"/>
      <w:r>
        <w:rPr>
          <w:rFonts w:ascii="Arial" w:eastAsia="Arial" w:hAnsi="Arial"/>
          <w:color w:val="000000"/>
          <w:sz w:val="24"/>
          <w:szCs w:val="24"/>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14:paraId="68FAEADC" w14:textId="399249CE" w:rsidR="00617539" w:rsidRDefault="567CADD0" w:rsidP="6A057AB8">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6A057AB8">
        <w:rPr>
          <w:rFonts w:ascii="Arial" w:eastAsia="Arial" w:hAnsi="Arial"/>
          <w:color w:val="000000" w:themeColor="text1"/>
          <w:sz w:val="24"/>
          <w:szCs w:val="24"/>
        </w:rPr>
        <w:t>NHS LPP</w:t>
      </w:r>
      <w:r w:rsidR="00C71833" w:rsidRPr="6A057AB8">
        <w:rPr>
          <w:rFonts w:ascii="Arial" w:eastAsia="Arial" w:hAnsi="Arial"/>
          <w:color w:val="000000" w:themeColor="text1"/>
          <w:sz w:val="24"/>
          <w:szCs w:val="24"/>
        </w:rPr>
        <w:t xml:space="preserve"> shall be able to share any information it receives from the Buyer in accordance with this Paragraph with any Buyer who has entered into a Call-Off Contract with the Supplier.</w:t>
      </w:r>
    </w:p>
    <w:p w14:paraId="32AC8090" w14:textId="7A3A4613" w:rsidR="00617539" w:rsidRDefault="00C71833" w:rsidP="6A057AB8">
      <w:pPr>
        <w:keepNext/>
        <w:numPr>
          <w:ilvl w:val="0"/>
          <w:numId w:val="3"/>
        </w:numPr>
        <w:pBdr>
          <w:top w:val="nil"/>
          <w:left w:val="nil"/>
          <w:bottom w:val="nil"/>
          <w:right w:val="nil"/>
          <w:between w:val="nil"/>
        </w:pBdr>
        <w:tabs>
          <w:tab w:val="left" w:pos="142"/>
        </w:tabs>
        <w:spacing w:before="120"/>
        <w:jc w:val="left"/>
        <w:rPr>
          <w:rFonts w:ascii="Arial" w:eastAsia="Arial" w:hAnsi="Arial"/>
          <w:b/>
          <w:bCs/>
          <w:smallCaps/>
          <w:color w:val="000000"/>
          <w:sz w:val="24"/>
          <w:szCs w:val="24"/>
        </w:rPr>
      </w:pPr>
      <w:r w:rsidRPr="6A057AB8">
        <w:rPr>
          <w:rFonts w:ascii="Arial Bold" w:eastAsia="Arial Bold" w:hAnsi="Arial Bold" w:cs="Arial Bold"/>
          <w:b/>
          <w:bCs/>
          <w:color w:val="000000" w:themeColor="text1"/>
          <w:sz w:val="24"/>
          <w:szCs w:val="24"/>
        </w:rPr>
        <w:t xml:space="preserve">When </w:t>
      </w:r>
      <w:r w:rsidR="567CADD0" w:rsidRPr="6A057AB8">
        <w:rPr>
          <w:rFonts w:ascii="Arial Bold" w:eastAsia="Arial Bold" w:hAnsi="Arial Bold" w:cs="Arial Bold"/>
          <w:b/>
          <w:bCs/>
          <w:color w:val="000000" w:themeColor="text1"/>
          <w:sz w:val="24"/>
          <w:szCs w:val="24"/>
        </w:rPr>
        <w:t>NHS LPP</w:t>
      </w:r>
      <w:r w:rsidRPr="6A057AB8">
        <w:rPr>
          <w:rFonts w:ascii="Arial Bold" w:eastAsia="Arial Bold" w:hAnsi="Arial Bold" w:cs="Arial Bold"/>
          <w:b/>
          <w:bCs/>
          <w:color w:val="000000" w:themeColor="text1"/>
          <w:sz w:val="24"/>
          <w:szCs w:val="24"/>
        </w:rPr>
        <w:t xml:space="preserve"> or the Buyer can terminate for financial distress </w:t>
      </w:r>
    </w:p>
    <w:p w14:paraId="30A39CEE" w14:textId="13700700" w:rsidR="00617539" w:rsidRDefault="567CADD0" w:rsidP="6A057AB8">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7" w:name="_heading=h.46r0co2"/>
      <w:bookmarkEnd w:id="27"/>
      <w:r w:rsidRPr="6A057AB8">
        <w:rPr>
          <w:rFonts w:ascii="Arial" w:eastAsia="Arial" w:hAnsi="Arial"/>
          <w:color w:val="000000" w:themeColor="text1"/>
          <w:sz w:val="24"/>
          <w:szCs w:val="24"/>
        </w:rPr>
        <w:t>NHS LPP</w:t>
      </w:r>
      <w:r w:rsidR="00C71833" w:rsidRPr="6A057AB8">
        <w:rPr>
          <w:rFonts w:ascii="Arial" w:eastAsia="Arial" w:hAnsi="Arial"/>
          <w:color w:val="000000" w:themeColor="text1"/>
          <w:sz w:val="24"/>
          <w:szCs w:val="24"/>
        </w:rPr>
        <w:t xml:space="preserve"> shall be entitled to terminate this Contract and Buyers shall be entitled to terminate their Call-Off Contracts for material Default if: </w:t>
      </w:r>
    </w:p>
    <w:p w14:paraId="403D9B3A" w14:textId="77777777" w:rsidR="00617539" w:rsidRDefault="00C71833">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the Relevant Authority of a Financial Distress Event in accordance with Paragraph 3.4; </w:t>
      </w:r>
    </w:p>
    <w:p w14:paraId="1842F840" w14:textId="77777777" w:rsidR="00617539" w:rsidRDefault="00C71833">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Relevant Authority and the Supplier fail to agree a Financial Distress Service Continuity Plan (or any updated Financial Distress Service Continuity Plan) in accordance with Paragraphs 4.3 to 4.5; and/or</w:t>
      </w:r>
    </w:p>
    <w:p w14:paraId="11FFE46B" w14:textId="77777777" w:rsidR="00617539" w:rsidRDefault="00C71833">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1EAA63B3" w14:textId="77777777" w:rsidR="00617539" w:rsidRDefault="00C71833">
      <w:pPr>
        <w:keepNext/>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lastRenderedPageBreak/>
        <w:t>If the Contract is terminated in accordance with Paragraph 5.1, Clauses 10.6.1 and 10.6.2 of the Core Terms shall apply as if the Contract had been terminated under Clause 10.4.1.</w:t>
      </w:r>
    </w:p>
    <w:p w14:paraId="1253691C" w14:textId="77777777" w:rsidR="00617539" w:rsidRDefault="00C71833">
      <w:pPr>
        <w:keepNext/>
        <w:numPr>
          <w:ilvl w:val="0"/>
          <w:numId w:val="3"/>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28" w:name="_heading=h.2lwamvv" w:colFirst="0" w:colLast="0"/>
      <w:bookmarkEnd w:id="28"/>
      <w:r>
        <w:rPr>
          <w:rFonts w:ascii="Arial Bold" w:eastAsia="Arial Bold" w:hAnsi="Arial Bold" w:cs="Arial Bold"/>
          <w:b/>
          <w:color w:val="000000"/>
          <w:sz w:val="24"/>
          <w:szCs w:val="24"/>
        </w:rPr>
        <w:t>What happens If your credit rating is still good</w:t>
      </w:r>
    </w:p>
    <w:p w14:paraId="7F77E006" w14:textId="34D7BFF1" w:rsidR="00617539" w:rsidRDefault="00C71833" w:rsidP="6A057AB8">
      <w:pPr>
        <w:numPr>
          <w:ilvl w:val="1"/>
          <w:numId w:val="3"/>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sidRPr="6A057AB8">
        <w:rPr>
          <w:rFonts w:ascii="Arial" w:eastAsia="Arial" w:hAnsi="Arial"/>
          <w:color w:val="000000" w:themeColor="text1"/>
          <w:sz w:val="24"/>
          <w:szCs w:val="24"/>
        </w:rPr>
        <w:t xml:space="preserve">Without prejudice to the Supplier’s obligations and </w:t>
      </w:r>
      <w:r w:rsidR="567CADD0" w:rsidRPr="6A057AB8">
        <w:rPr>
          <w:rFonts w:ascii="Arial" w:eastAsia="Arial" w:hAnsi="Arial"/>
          <w:color w:val="000000" w:themeColor="text1"/>
          <w:sz w:val="24"/>
          <w:szCs w:val="24"/>
        </w:rPr>
        <w:t>NHS LPP</w:t>
      </w:r>
      <w:r w:rsidRPr="6A057AB8">
        <w:rPr>
          <w:rFonts w:ascii="Arial" w:eastAsia="Arial" w:hAnsi="Arial"/>
          <w:color w:val="000000" w:themeColor="text1"/>
          <w:sz w:val="24"/>
          <w:szCs w:val="24"/>
        </w:rPr>
        <w:t>’ and the Buyer’s rights and remedies under Paragraph 5, if, following the occurrence of a Financial Distress Event, the Rating Agencies review and report subsequently that the credit ratings do not drop below the relevant Credit Rating Threshold, then:</w:t>
      </w:r>
    </w:p>
    <w:p w14:paraId="29B6A00C" w14:textId="77777777" w:rsidR="00617539" w:rsidRDefault="00C71833">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1D4E26C6" w14:textId="77777777" w:rsidR="00617539" w:rsidRDefault="00C71833">
      <w:pPr>
        <w:numPr>
          <w:ilvl w:val="2"/>
          <w:numId w:val="3"/>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Relevant Authority shall not be entitled to require the Supplier to provide financial information in accordance with Paragraph 4.3.2(b). </w:t>
      </w:r>
    </w:p>
    <w:p w14:paraId="463F29E8" w14:textId="77777777" w:rsidR="00617539" w:rsidRDefault="00617539"/>
    <w:p w14:paraId="3B7B4B86" w14:textId="77777777" w:rsidR="00617539" w:rsidRDefault="00617539">
      <w:pPr>
        <w:pBdr>
          <w:top w:val="nil"/>
          <w:left w:val="nil"/>
          <w:bottom w:val="nil"/>
          <w:right w:val="nil"/>
          <w:between w:val="nil"/>
        </w:pBdr>
        <w:spacing w:after="0"/>
        <w:jc w:val="left"/>
        <w:rPr>
          <w:rFonts w:ascii="Arial" w:eastAsia="Arial" w:hAnsi="Arial"/>
          <w:color w:val="FFFFFF"/>
          <w:sz w:val="24"/>
          <w:szCs w:val="24"/>
        </w:rPr>
      </w:pPr>
      <w:bookmarkStart w:id="29" w:name="_heading=h.4i7ojhp" w:colFirst="0" w:colLast="0"/>
      <w:bookmarkEnd w:id="29"/>
    </w:p>
    <w:p w14:paraId="3A0FF5F2" w14:textId="77777777" w:rsidR="00617539" w:rsidRDefault="00C71833">
      <w:pPr>
        <w:keepNext/>
        <w:pBdr>
          <w:top w:val="nil"/>
          <w:left w:val="nil"/>
          <w:bottom w:val="nil"/>
          <w:right w:val="nil"/>
          <w:between w:val="nil"/>
        </w:pBdr>
        <w:ind w:firstLine="426"/>
        <w:jc w:val="left"/>
        <w:rPr>
          <w:rFonts w:ascii="Arial" w:eastAsia="Arial" w:hAnsi="Arial"/>
          <w:b/>
          <w:smallCaps/>
          <w:color w:val="000000"/>
          <w:sz w:val="24"/>
          <w:szCs w:val="24"/>
        </w:rPr>
      </w:pPr>
      <w:bookmarkStart w:id="30" w:name="_heading=h.111kx3o" w:colFirst="0" w:colLast="0"/>
      <w:bookmarkEnd w:id="30"/>
      <w:r>
        <w:br w:type="page"/>
      </w:r>
    </w:p>
    <w:p w14:paraId="0C729E2E" w14:textId="77777777" w:rsidR="00617539" w:rsidRDefault="00C71833">
      <w:pPr>
        <w:keepNext/>
        <w:pBdr>
          <w:top w:val="nil"/>
          <w:left w:val="nil"/>
          <w:bottom w:val="nil"/>
          <w:right w:val="nil"/>
          <w:between w:val="nil"/>
        </w:pBdr>
        <w:ind w:firstLine="426"/>
        <w:jc w:val="left"/>
        <w:rPr>
          <w:rFonts w:ascii="Arial" w:eastAsia="Arial" w:hAnsi="Arial"/>
          <w:b/>
          <w:smallCaps/>
          <w:color w:val="000000"/>
          <w:sz w:val="36"/>
          <w:szCs w:val="36"/>
        </w:rPr>
      </w:pPr>
      <w:bookmarkStart w:id="31" w:name="_heading=h.3l18frh" w:colFirst="0" w:colLast="0"/>
      <w:bookmarkEnd w:id="31"/>
      <w:r>
        <w:rPr>
          <w:rFonts w:ascii="Arial" w:eastAsia="Arial" w:hAnsi="Arial"/>
          <w:b/>
          <w:smallCaps/>
          <w:color w:val="000000"/>
          <w:sz w:val="36"/>
          <w:szCs w:val="36"/>
        </w:rPr>
        <w:lastRenderedPageBreak/>
        <w:t>Appendix 1: RATING AGENCIES</w:t>
      </w:r>
    </w:p>
    <w:p w14:paraId="79397EE9" w14:textId="77777777" w:rsidR="00617539" w:rsidRDefault="00C7183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Dun &amp; Bradstreet</w:t>
      </w:r>
    </w:p>
    <w:p w14:paraId="5987A600" w14:textId="77777777" w:rsidR="00617539" w:rsidRDefault="00C71833">
      <w:pPr>
        <w:keepNext/>
        <w:pBdr>
          <w:top w:val="nil"/>
          <w:left w:val="nil"/>
          <w:bottom w:val="nil"/>
          <w:right w:val="nil"/>
          <w:between w:val="nil"/>
        </w:pBdr>
        <w:jc w:val="left"/>
        <w:rPr>
          <w:rFonts w:ascii="Arial" w:eastAsia="Arial" w:hAnsi="Arial"/>
          <w:b/>
          <w:smallCaps/>
          <w:color w:val="000000"/>
          <w:sz w:val="24"/>
          <w:szCs w:val="24"/>
        </w:rPr>
      </w:pPr>
      <w:bookmarkStart w:id="32" w:name="_heading=h.206ipza" w:colFirst="0" w:colLast="0"/>
      <w:bookmarkEnd w:id="32"/>
      <w:r>
        <w:br w:type="page"/>
      </w:r>
      <w:r>
        <w:rPr>
          <w:rFonts w:ascii="Arial" w:eastAsia="Arial" w:hAnsi="Arial"/>
          <w:b/>
          <w:smallCaps/>
          <w:color w:val="000000"/>
          <w:sz w:val="36"/>
          <w:szCs w:val="36"/>
        </w:rPr>
        <w:lastRenderedPageBreak/>
        <w:t>Appendix 2: CREDIT RATINGS &amp; CREDIT RATING THRESHOLDS</w:t>
      </w:r>
    </w:p>
    <w:p w14:paraId="06D2FDB7" w14:textId="77777777" w:rsidR="00617539" w:rsidRDefault="00C71833">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f"/>
        <w:tblW w:w="616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7"/>
      </w:tblGrid>
      <w:tr w:rsidR="00617539" w14:paraId="412776C8" w14:textId="77777777">
        <w:trPr>
          <w:gridAfter w:val="1"/>
          <w:wAfter w:w="7" w:type="dxa"/>
        </w:trPr>
        <w:tc>
          <w:tcPr>
            <w:tcW w:w="3080" w:type="dxa"/>
            <w:tcBorders>
              <w:top w:val="single" w:sz="4" w:space="0" w:color="000000"/>
            </w:tcBorders>
            <w:shd w:val="clear" w:color="auto" w:fill="FFFFFF"/>
          </w:tcPr>
          <w:p w14:paraId="0336E9E4" w14:textId="77777777" w:rsidR="00617539" w:rsidRDefault="00C71833">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58616E96" w14:textId="77777777" w:rsidR="00617539" w:rsidRDefault="00C71833">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617539" w14:paraId="49790411" w14:textId="77777777">
        <w:tc>
          <w:tcPr>
            <w:tcW w:w="3080" w:type="dxa"/>
            <w:shd w:val="clear" w:color="auto" w:fill="FFFFFF"/>
          </w:tcPr>
          <w:p w14:paraId="04A0B2A8" w14:textId="77777777" w:rsidR="00617539" w:rsidRDefault="00C7183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8" w:type="dxa"/>
            <w:gridSpan w:val="2"/>
            <w:shd w:val="clear" w:color="auto" w:fill="FFFFFF"/>
          </w:tcPr>
          <w:p w14:paraId="1C203047" w14:textId="77777777" w:rsidR="00617539" w:rsidRDefault="00C7183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25</w:t>
            </w:r>
          </w:p>
        </w:tc>
      </w:tr>
      <w:tr w:rsidR="00617539" w14:paraId="7C89DA85" w14:textId="77777777">
        <w:tc>
          <w:tcPr>
            <w:tcW w:w="3080" w:type="dxa"/>
            <w:shd w:val="clear" w:color="auto" w:fill="FFFFFF"/>
          </w:tcPr>
          <w:p w14:paraId="4B47CB7D" w14:textId="77777777" w:rsidR="00617539" w:rsidRDefault="00C7183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8" w:type="dxa"/>
            <w:gridSpan w:val="2"/>
            <w:shd w:val="clear" w:color="auto" w:fill="FFFFFF"/>
          </w:tcPr>
          <w:p w14:paraId="3BD81678" w14:textId="77777777" w:rsidR="00617539" w:rsidRDefault="00C7183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w:t>
            </w:r>
            <w:r>
              <w:rPr>
                <w:rFonts w:ascii="Arial" w:eastAsia="Arial" w:hAnsi="Arial"/>
                <w:color w:val="000000"/>
                <w:sz w:val="24"/>
                <w:szCs w:val="24"/>
                <w:highlight w:val="yellow"/>
              </w:rPr>
              <w:t>25</w:t>
            </w:r>
            <w:r>
              <w:rPr>
                <w:rFonts w:ascii="Arial" w:eastAsia="Arial" w:hAnsi="Arial"/>
                <w:color w:val="000000"/>
                <w:sz w:val="24"/>
                <w:szCs w:val="24"/>
              </w:rPr>
              <w:t>]</w:t>
            </w:r>
          </w:p>
        </w:tc>
      </w:tr>
      <w:tr w:rsidR="00617539" w14:paraId="40BDCCB1" w14:textId="77777777">
        <w:trPr>
          <w:gridAfter w:val="1"/>
          <w:wAfter w:w="7" w:type="dxa"/>
        </w:trPr>
        <w:tc>
          <w:tcPr>
            <w:tcW w:w="3080" w:type="dxa"/>
            <w:tcBorders>
              <w:bottom w:val="single" w:sz="4" w:space="0" w:color="000000"/>
            </w:tcBorders>
            <w:shd w:val="clear" w:color="auto" w:fill="FFFFFF"/>
          </w:tcPr>
          <w:p w14:paraId="5E4EBA84" w14:textId="77777777" w:rsidR="00617539" w:rsidRDefault="00C71833">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14:paraId="40C8FABA" w14:textId="77777777" w:rsidR="00617539" w:rsidRDefault="00C71833">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w:t>
            </w:r>
            <w:r>
              <w:rPr>
                <w:rFonts w:ascii="Arial" w:eastAsia="Arial" w:hAnsi="Arial"/>
                <w:color w:val="000000"/>
                <w:sz w:val="24"/>
                <w:szCs w:val="24"/>
                <w:highlight w:val="yellow"/>
              </w:rPr>
              <w:t>25</w:t>
            </w:r>
            <w:r>
              <w:rPr>
                <w:rFonts w:ascii="Arial" w:eastAsia="Arial" w:hAnsi="Arial"/>
                <w:color w:val="000000"/>
                <w:sz w:val="24"/>
                <w:szCs w:val="24"/>
              </w:rPr>
              <w:t>]</w:t>
            </w:r>
          </w:p>
        </w:tc>
      </w:tr>
    </w:tbl>
    <w:p w14:paraId="5630AD66" w14:textId="77777777" w:rsidR="00617539" w:rsidRDefault="00617539">
      <w:pPr>
        <w:spacing w:after="0"/>
        <w:rPr>
          <w:rFonts w:ascii="Arial" w:eastAsia="Arial" w:hAnsi="Arial"/>
          <w:sz w:val="24"/>
          <w:szCs w:val="24"/>
        </w:rPr>
      </w:pPr>
    </w:p>
    <w:p w14:paraId="61829076" w14:textId="77777777" w:rsidR="00617539" w:rsidRDefault="00617539">
      <w:pPr>
        <w:spacing w:after="200" w:line="276" w:lineRule="auto"/>
        <w:jc w:val="left"/>
        <w:rPr>
          <w:rFonts w:ascii="Arial" w:eastAsia="Arial" w:hAnsi="Arial"/>
          <w:sz w:val="24"/>
          <w:szCs w:val="24"/>
        </w:rPr>
      </w:pPr>
    </w:p>
    <w:sectPr w:rsidR="00617539">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1DDD4" w14:textId="77777777" w:rsidR="006B58F4" w:rsidRDefault="006B58F4">
      <w:pPr>
        <w:spacing w:after="0"/>
      </w:pPr>
      <w:r>
        <w:separator/>
      </w:r>
    </w:p>
  </w:endnote>
  <w:endnote w:type="continuationSeparator" w:id="0">
    <w:p w14:paraId="175D5589" w14:textId="77777777" w:rsidR="006B58F4" w:rsidRDefault="006B58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A1687" w14:textId="01D4654D" w:rsidR="00372A59" w:rsidRDefault="00372A59">
    <w:pPr>
      <w:pStyle w:val="Footer"/>
    </w:pPr>
    <w:r>
      <w:rPr>
        <w:noProof/>
      </w:rPr>
      <mc:AlternateContent>
        <mc:Choice Requires="wps">
          <w:drawing>
            <wp:anchor distT="0" distB="0" distL="0" distR="0" simplePos="0" relativeHeight="251662336" behindDoc="0" locked="0" layoutInCell="1" allowOverlap="1" wp14:anchorId="4C3EEC46" wp14:editId="6A844082">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481E44" w14:textId="7FBDD650" w:rsidR="00372A59" w:rsidRPr="00372A59" w:rsidRDefault="00372A59" w:rsidP="00372A59">
                          <w:pPr>
                            <w:spacing w:after="0"/>
                            <w:rPr>
                              <w:rFonts w:ascii="Arial" w:eastAsia="Arial" w:hAnsi="Arial"/>
                              <w:noProof/>
                              <w:color w:val="000000"/>
                            </w:rPr>
                          </w:pPr>
                          <w:r w:rsidRPr="00372A59">
                            <w:rPr>
                              <w:rFonts w:ascii="Arial" w:eastAsia="Arial" w:hAnsi="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3EEC46"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0E481E44" w14:textId="7FBDD650" w:rsidR="00372A59" w:rsidRPr="00372A59" w:rsidRDefault="00372A59" w:rsidP="00372A59">
                    <w:pPr>
                      <w:spacing w:after="0"/>
                      <w:rPr>
                        <w:rFonts w:ascii="Arial" w:eastAsia="Arial" w:hAnsi="Arial"/>
                        <w:noProof/>
                        <w:color w:val="000000"/>
                      </w:rPr>
                    </w:pPr>
                    <w:r w:rsidRPr="00372A59">
                      <w:rPr>
                        <w:rFonts w:ascii="Arial" w:eastAsia="Arial" w:hAnsi="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B976" w14:textId="4917CC9D" w:rsidR="00617539" w:rsidRDefault="00372A59">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63360" behindDoc="0" locked="0" layoutInCell="1" allowOverlap="1" wp14:anchorId="311176E2" wp14:editId="36BD6805">
              <wp:simplePos x="914400" y="9801225"/>
              <wp:positionH relativeFrom="page">
                <wp:align>center</wp:align>
              </wp:positionH>
              <wp:positionV relativeFrom="page">
                <wp:align>bottom</wp:align>
              </wp:positionV>
              <wp:extent cx="443865" cy="443865"/>
              <wp:effectExtent l="0" t="0" r="0" b="0"/>
              <wp:wrapNone/>
              <wp:docPr id="8" name="Text Box 8"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DA9BC1" w14:textId="3296140E" w:rsidR="00372A59" w:rsidRPr="00372A59" w:rsidRDefault="00372A59" w:rsidP="00372A59">
                          <w:pPr>
                            <w:spacing w:after="0"/>
                            <w:rPr>
                              <w:rFonts w:ascii="Arial" w:eastAsia="Arial" w:hAnsi="Arial"/>
                              <w:noProof/>
                              <w:color w:val="000000"/>
                            </w:rPr>
                          </w:pPr>
                          <w:r w:rsidRPr="00372A59">
                            <w:rPr>
                              <w:rFonts w:ascii="Arial" w:eastAsia="Arial" w:hAnsi="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1176E2" id="_x0000_t202" coordsize="21600,21600" o:spt="202" path="m,l,21600r21600,l21600,xe">
              <v:stroke joinstyle="miter"/>
              <v:path gradientshapeok="t" o:connecttype="rect"/>
            </v:shapetype>
            <v:shape id="Text Box 8"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59DA9BC1" w14:textId="3296140E" w:rsidR="00372A59" w:rsidRPr="00372A59" w:rsidRDefault="00372A59" w:rsidP="00372A59">
                    <w:pPr>
                      <w:spacing w:after="0"/>
                      <w:rPr>
                        <w:rFonts w:ascii="Arial" w:eastAsia="Arial" w:hAnsi="Arial"/>
                        <w:noProof/>
                        <w:color w:val="000000"/>
                      </w:rPr>
                    </w:pPr>
                    <w:r w:rsidRPr="00372A59">
                      <w:rPr>
                        <w:rFonts w:ascii="Arial" w:eastAsia="Arial" w:hAnsi="Arial"/>
                        <w:noProof/>
                        <w:color w:val="000000"/>
                      </w:rPr>
                      <w:t>OFFICIAL-SENSITIVE - COMMERCIAL</w:t>
                    </w:r>
                  </w:p>
                </w:txbxContent>
              </v:textbox>
              <w10:wrap anchorx="page" anchory="page"/>
            </v:shape>
          </w:pict>
        </mc:Fallback>
      </mc:AlternateContent>
    </w:r>
    <w:r w:rsidR="00C71833">
      <w:rPr>
        <w:rFonts w:ascii="Arial" w:eastAsia="Arial" w:hAnsi="Arial"/>
        <w:sz w:val="20"/>
        <w:szCs w:val="20"/>
      </w:rPr>
      <w:t>Framework Ref: RM62</w:t>
    </w:r>
    <w:r w:rsidR="00EE466F">
      <w:rPr>
        <w:rFonts w:ascii="Arial" w:eastAsia="Arial" w:hAnsi="Arial"/>
        <w:sz w:val="20"/>
        <w:szCs w:val="20"/>
      </w:rPr>
      <w:t>81</w:t>
    </w:r>
    <w:r w:rsidR="00C71833">
      <w:rPr>
        <w:rFonts w:ascii="Arial" w:eastAsia="Arial" w:hAnsi="Arial"/>
        <w:sz w:val="20"/>
        <w:szCs w:val="20"/>
      </w:rPr>
      <w:tab/>
      <w:t xml:space="preserve">                                           </w:t>
    </w:r>
  </w:p>
  <w:p w14:paraId="330A674E" w14:textId="77777777" w:rsidR="00617539" w:rsidRDefault="00C7183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10</w:t>
    </w:r>
    <w:r>
      <w:rPr>
        <w:rFonts w:ascii="Arial" w:eastAsia="Arial" w:hAnsi="Arial"/>
        <w:color w:val="000000"/>
        <w:sz w:val="20"/>
        <w:szCs w:val="20"/>
      </w:rPr>
      <w:fldChar w:fldCharType="end"/>
    </w:r>
  </w:p>
  <w:p w14:paraId="2A1DFEC2" w14:textId="77777777" w:rsidR="00617539" w:rsidRDefault="00C71833">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1F13" w14:textId="47BAF246" w:rsidR="00617539" w:rsidRDefault="00372A59">
    <w:pPr>
      <w:tabs>
        <w:tab w:val="center" w:pos="4513"/>
        <w:tab w:val="right" w:pos="9026"/>
      </w:tabs>
      <w:spacing w:after="0"/>
      <w:rPr>
        <w:color w:val="BFBFBF"/>
      </w:rPr>
    </w:pPr>
    <w:r>
      <w:rPr>
        <w:noProof/>
        <w:color w:val="BFBFBF"/>
      </w:rPr>
      <mc:AlternateContent>
        <mc:Choice Requires="wps">
          <w:drawing>
            <wp:anchor distT="0" distB="0" distL="0" distR="0" simplePos="0" relativeHeight="251661312" behindDoc="0" locked="0" layoutInCell="1" allowOverlap="1" wp14:anchorId="69ED37FA" wp14:editId="743E8A4E">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B590CE" w14:textId="1D810947" w:rsidR="00372A59" w:rsidRPr="00372A59" w:rsidRDefault="00372A59" w:rsidP="00372A59">
                          <w:pPr>
                            <w:spacing w:after="0"/>
                            <w:rPr>
                              <w:rFonts w:ascii="Arial" w:eastAsia="Arial" w:hAnsi="Arial"/>
                              <w:noProof/>
                              <w:color w:val="000000"/>
                            </w:rPr>
                          </w:pPr>
                          <w:r w:rsidRPr="00372A59">
                            <w:rPr>
                              <w:rFonts w:ascii="Arial" w:eastAsia="Arial" w:hAnsi="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ED37FA"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31B590CE" w14:textId="1D810947" w:rsidR="00372A59" w:rsidRPr="00372A59" w:rsidRDefault="00372A59" w:rsidP="00372A59">
                    <w:pPr>
                      <w:spacing w:after="0"/>
                      <w:rPr>
                        <w:rFonts w:ascii="Arial" w:eastAsia="Arial" w:hAnsi="Arial"/>
                        <w:noProof/>
                        <w:color w:val="000000"/>
                      </w:rPr>
                    </w:pPr>
                    <w:r w:rsidRPr="00372A59">
                      <w:rPr>
                        <w:rFonts w:ascii="Arial" w:eastAsia="Arial" w:hAnsi="Arial"/>
                        <w:noProof/>
                        <w:color w:val="000000"/>
                      </w:rPr>
                      <w:t>OFFICIAL-SENSITIVE - COMMERCIAL</w:t>
                    </w:r>
                  </w:p>
                </w:txbxContent>
              </v:textbox>
              <w10:wrap anchorx="page" anchory="page"/>
            </v:shape>
          </w:pict>
        </mc:Fallback>
      </mc:AlternateContent>
    </w:r>
    <w:r w:rsidR="00C71833">
      <w:rPr>
        <w:color w:val="BFBFBF"/>
      </w:rPr>
      <w:t>Framework Ref: RM</w:t>
    </w:r>
    <w:r w:rsidR="00C71833">
      <w:rPr>
        <w:color w:val="BFBFBF"/>
      </w:rPr>
      <w:tab/>
      <w:t xml:space="preserve">                                           </w:t>
    </w:r>
  </w:p>
  <w:p w14:paraId="7CD89AEC" w14:textId="77777777" w:rsidR="00617539" w:rsidRDefault="00C71833">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4564B31C" w14:textId="77777777" w:rsidR="00617539" w:rsidRDefault="00C71833">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E7C98" w14:textId="77777777" w:rsidR="006B58F4" w:rsidRDefault="006B58F4">
      <w:pPr>
        <w:spacing w:after="0"/>
      </w:pPr>
      <w:r>
        <w:separator/>
      </w:r>
    </w:p>
  </w:footnote>
  <w:footnote w:type="continuationSeparator" w:id="0">
    <w:p w14:paraId="6C737A36" w14:textId="77777777" w:rsidR="006B58F4" w:rsidRDefault="006B58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14FAC" w14:textId="55B81B68" w:rsidR="00372A59" w:rsidRDefault="00372A59">
    <w:pPr>
      <w:pStyle w:val="Header"/>
    </w:pPr>
    <w:r>
      <w:rPr>
        <w:noProof/>
      </w:rPr>
      <mc:AlternateContent>
        <mc:Choice Requires="wps">
          <w:drawing>
            <wp:anchor distT="0" distB="0" distL="0" distR="0" simplePos="0" relativeHeight="251659264" behindDoc="0" locked="0" layoutInCell="1" allowOverlap="1" wp14:anchorId="13003721" wp14:editId="6A8A024E">
              <wp:simplePos x="635" y="635"/>
              <wp:positionH relativeFrom="page">
                <wp:align>center</wp:align>
              </wp:positionH>
              <wp:positionV relativeFrom="page">
                <wp:align>top</wp:align>
              </wp:positionV>
              <wp:extent cx="443865" cy="443865"/>
              <wp:effectExtent l="0" t="0" r="0" b="10795"/>
              <wp:wrapNone/>
              <wp:docPr id="2"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58586E" w14:textId="3145469C" w:rsidR="00372A59" w:rsidRPr="00372A59" w:rsidRDefault="00372A59" w:rsidP="00372A59">
                          <w:pPr>
                            <w:spacing w:after="0"/>
                            <w:rPr>
                              <w:rFonts w:ascii="Arial" w:eastAsia="Arial" w:hAnsi="Arial"/>
                              <w:noProof/>
                              <w:color w:val="000000"/>
                            </w:rPr>
                          </w:pPr>
                          <w:r w:rsidRPr="00372A59">
                            <w:rPr>
                              <w:rFonts w:ascii="Arial" w:eastAsia="Arial" w:hAnsi="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003721"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2D58586E" w14:textId="3145469C" w:rsidR="00372A59" w:rsidRPr="00372A59" w:rsidRDefault="00372A59" w:rsidP="00372A59">
                    <w:pPr>
                      <w:spacing w:after="0"/>
                      <w:rPr>
                        <w:rFonts w:ascii="Arial" w:eastAsia="Arial" w:hAnsi="Arial"/>
                        <w:noProof/>
                        <w:color w:val="000000"/>
                      </w:rPr>
                    </w:pPr>
                    <w:r w:rsidRPr="00372A59">
                      <w:rPr>
                        <w:rFonts w:ascii="Arial" w:eastAsia="Arial" w:hAnsi="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48911" w14:textId="2400CDF7" w:rsidR="00617539" w:rsidRDefault="00372A5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noProof/>
        <w:color w:val="000000"/>
        <w:sz w:val="20"/>
        <w:szCs w:val="20"/>
      </w:rPr>
      <mc:AlternateContent>
        <mc:Choice Requires="wps">
          <w:drawing>
            <wp:anchor distT="0" distB="0" distL="0" distR="0" simplePos="0" relativeHeight="251660288" behindDoc="0" locked="0" layoutInCell="1" allowOverlap="1" wp14:anchorId="4DEA3381" wp14:editId="5CBEB74F">
              <wp:simplePos x="914400" y="447675"/>
              <wp:positionH relativeFrom="page">
                <wp:align>center</wp:align>
              </wp:positionH>
              <wp:positionV relativeFrom="page">
                <wp:align>top</wp:align>
              </wp:positionV>
              <wp:extent cx="443865" cy="443865"/>
              <wp:effectExtent l="0" t="0" r="0" b="10795"/>
              <wp:wrapNone/>
              <wp:docPr id="3"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A365D8F" w14:textId="32B00134" w:rsidR="00372A59" w:rsidRPr="00372A59" w:rsidRDefault="00372A59" w:rsidP="00372A59">
                          <w:pPr>
                            <w:spacing w:after="0"/>
                            <w:rPr>
                              <w:rFonts w:ascii="Arial" w:eastAsia="Arial" w:hAnsi="Arial"/>
                              <w:noProof/>
                              <w:color w:val="000000"/>
                            </w:rPr>
                          </w:pPr>
                          <w:r w:rsidRPr="00372A59">
                            <w:rPr>
                              <w:rFonts w:ascii="Arial" w:eastAsia="Arial" w:hAnsi="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DEA3381"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1A365D8F" w14:textId="32B00134" w:rsidR="00372A59" w:rsidRPr="00372A59" w:rsidRDefault="00372A59" w:rsidP="00372A59">
                    <w:pPr>
                      <w:spacing w:after="0"/>
                      <w:rPr>
                        <w:rFonts w:ascii="Arial" w:eastAsia="Arial" w:hAnsi="Arial"/>
                        <w:noProof/>
                        <w:color w:val="000000"/>
                      </w:rPr>
                    </w:pPr>
                    <w:r w:rsidRPr="00372A59">
                      <w:rPr>
                        <w:rFonts w:ascii="Arial" w:eastAsia="Arial" w:hAnsi="Arial"/>
                        <w:noProof/>
                        <w:color w:val="000000"/>
                      </w:rPr>
                      <w:t>OFFICIAL-SENSITIVE - COMMERCIAL</w:t>
                    </w:r>
                  </w:p>
                </w:txbxContent>
              </v:textbox>
              <w10:wrap anchorx="page" anchory="page"/>
            </v:shape>
          </w:pict>
        </mc:Fallback>
      </mc:AlternateContent>
    </w:r>
    <w:r w:rsidR="00C71833">
      <w:rPr>
        <w:rFonts w:ascii="Arial" w:eastAsia="Arial" w:hAnsi="Arial"/>
        <w:b/>
        <w:color w:val="000000"/>
        <w:sz w:val="20"/>
        <w:szCs w:val="20"/>
      </w:rPr>
      <w:t>Joint Schedule 7 (Financial Difficulties)</w:t>
    </w:r>
  </w:p>
  <w:p w14:paraId="34314ACD" w14:textId="77777777" w:rsidR="00617539" w:rsidRDefault="00C7183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w:t>
    </w:r>
    <w:r>
      <w:rPr>
        <w:rFonts w:ascii="Arial" w:eastAsia="Arial" w:hAnsi="Arial"/>
        <w:sz w:val="20"/>
        <w:szCs w:val="2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4777" w14:textId="1744DD12" w:rsidR="00372A59" w:rsidRDefault="00372A59">
    <w:pPr>
      <w:pStyle w:val="Header"/>
    </w:pPr>
    <w:r>
      <w:rPr>
        <w:noProof/>
      </w:rPr>
      <mc:AlternateContent>
        <mc:Choice Requires="wps">
          <w:drawing>
            <wp:anchor distT="0" distB="0" distL="0" distR="0" simplePos="0" relativeHeight="251658240" behindDoc="0" locked="0" layoutInCell="1" allowOverlap="1" wp14:anchorId="47E1B9F4" wp14:editId="292722AF">
              <wp:simplePos x="635" y="635"/>
              <wp:positionH relativeFrom="page">
                <wp:align>center</wp:align>
              </wp:positionH>
              <wp:positionV relativeFrom="page">
                <wp:align>top</wp:align>
              </wp:positionV>
              <wp:extent cx="443865" cy="443865"/>
              <wp:effectExtent l="0" t="0" r="0" b="10795"/>
              <wp:wrapNone/>
              <wp:docPr id="1"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228448" w14:textId="2739A0FD" w:rsidR="00372A59" w:rsidRPr="00372A59" w:rsidRDefault="00372A59" w:rsidP="00372A59">
                          <w:pPr>
                            <w:spacing w:after="0"/>
                            <w:rPr>
                              <w:rFonts w:ascii="Arial" w:eastAsia="Arial" w:hAnsi="Arial"/>
                              <w:noProof/>
                              <w:color w:val="000000"/>
                            </w:rPr>
                          </w:pPr>
                          <w:r w:rsidRPr="00372A59">
                            <w:rPr>
                              <w:rFonts w:ascii="Arial" w:eastAsia="Arial" w:hAnsi="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7E1B9F4"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60228448" w14:textId="2739A0FD" w:rsidR="00372A59" w:rsidRPr="00372A59" w:rsidRDefault="00372A59" w:rsidP="00372A59">
                    <w:pPr>
                      <w:spacing w:after="0"/>
                      <w:rPr>
                        <w:rFonts w:ascii="Arial" w:eastAsia="Arial" w:hAnsi="Arial"/>
                        <w:noProof/>
                        <w:color w:val="000000"/>
                      </w:rPr>
                    </w:pPr>
                    <w:r w:rsidRPr="00372A59">
                      <w:rPr>
                        <w:rFonts w:ascii="Arial" w:eastAsia="Arial" w:hAnsi="Arial"/>
                        <w:noProof/>
                        <w:color w:val="000000"/>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A7E1F"/>
    <w:multiLevelType w:val="multilevel"/>
    <w:tmpl w:val="8032759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D69011F"/>
    <w:multiLevelType w:val="multilevel"/>
    <w:tmpl w:val="7C4AA37C"/>
    <w:lvl w:ilvl="0">
      <w:start w:val="1"/>
      <w:numFmt w:val="decimal"/>
      <w:pStyle w:val="AnnexHeading"/>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0936E86"/>
    <w:multiLevelType w:val="multilevel"/>
    <w:tmpl w:val="CE2AAD28"/>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DCD556B"/>
    <w:multiLevelType w:val="multilevel"/>
    <w:tmpl w:val="7B421C0A"/>
    <w:lvl w:ilvl="0">
      <w:start w:val="1"/>
      <w:numFmt w:val="decimal"/>
      <w:pStyle w:val="GPSL1CLAUSEHEADING"/>
      <w:lvlText w:val="%1"/>
      <w:lvlJc w:val="left"/>
      <w:pPr>
        <w:ind w:left="720" w:hanging="720"/>
      </w:pPr>
    </w:lvl>
    <w:lvl w:ilvl="1">
      <w:start w:val="1"/>
      <w:numFmt w:val="decimal"/>
      <w:pStyle w:val="GPSL2NumberedBoldHeading"/>
      <w:lvlText w:val="%1.%2"/>
      <w:lvlJc w:val="left"/>
      <w:pPr>
        <w:ind w:left="720" w:hanging="720"/>
      </w:pPr>
    </w:lvl>
    <w:lvl w:ilvl="2">
      <w:start w:val="1"/>
      <w:numFmt w:val="decimal"/>
      <w:pStyle w:val="GPSL3numberedclause"/>
      <w:lvlText w:val="%1.%2.%3"/>
      <w:lvlJc w:val="left"/>
      <w:pPr>
        <w:ind w:left="1803" w:hanging="1083"/>
      </w:pPr>
    </w:lvl>
    <w:lvl w:ilvl="3">
      <w:start w:val="1"/>
      <w:numFmt w:val="lowerLetter"/>
      <w:pStyle w:val="GPSL4numberedclause"/>
      <w:lvlText w:val="(%4)"/>
      <w:lvlJc w:val="left"/>
      <w:pPr>
        <w:ind w:left="1803" w:hanging="1083"/>
      </w:pPr>
    </w:lvl>
    <w:lvl w:ilvl="4">
      <w:start w:val="1"/>
      <w:numFmt w:val="lowerRoman"/>
      <w:pStyle w:val="GPSL5numberedclause"/>
      <w:lvlText w:val="(%5)"/>
      <w:lvlJc w:val="left"/>
      <w:pPr>
        <w:ind w:left="2523" w:hanging="720"/>
      </w:pPr>
    </w:lvl>
    <w:lvl w:ilvl="5">
      <w:start w:val="1"/>
      <w:numFmt w:val="upperLetter"/>
      <w:pStyle w:val="GPSL6numbered"/>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40D206CA"/>
    <w:multiLevelType w:val="multilevel"/>
    <w:tmpl w:val="509C05DE"/>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960794497">
    <w:abstractNumId w:val="4"/>
  </w:num>
  <w:num w:numId="2" w16cid:durableId="1175145371">
    <w:abstractNumId w:val="3"/>
  </w:num>
  <w:num w:numId="3" w16cid:durableId="1845702650">
    <w:abstractNumId w:val="0"/>
  </w:num>
  <w:num w:numId="4" w16cid:durableId="1139690749">
    <w:abstractNumId w:val="1"/>
  </w:num>
  <w:num w:numId="5" w16cid:durableId="20005015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539"/>
    <w:rsid w:val="00113377"/>
    <w:rsid w:val="00372A59"/>
    <w:rsid w:val="00501882"/>
    <w:rsid w:val="005F24C7"/>
    <w:rsid w:val="00617539"/>
    <w:rsid w:val="006B58F4"/>
    <w:rsid w:val="007839E1"/>
    <w:rsid w:val="007E5381"/>
    <w:rsid w:val="008A439E"/>
    <w:rsid w:val="00B00DEE"/>
    <w:rsid w:val="00B4543F"/>
    <w:rsid w:val="00C71833"/>
    <w:rsid w:val="00CE07AB"/>
    <w:rsid w:val="00CE6CD8"/>
    <w:rsid w:val="00DC57B6"/>
    <w:rsid w:val="00E60C38"/>
    <w:rsid w:val="00EE466F"/>
    <w:rsid w:val="1711DF62"/>
    <w:rsid w:val="49141A09"/>
    <w:rsid w:val="567CADD0"/>
    <w:rsid w:val="6A057A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90ED2"/>
  <w15:docId w15:val="{A8283003-7B3E-4261-B03B-F7772BAEB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rsid w:val="00A96D9C"/>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A96D9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A96D9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96D9C"/>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A96D9C"/>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96D9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D9C"/>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4"/>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numPr>
        <w:numId w:val="5"/>
      </w:numPr>
      <w:overflowPunct/>
      <w:autoSpaceDE/>
      <w:autoSpaceDN/>
      <w:adjustRightInd/>
      <w:spacing w:before="100" w:after="20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pPr>
    <w:rPr>
      <w:b w:val="0"/>
    </w:rPr>
  </w:style>
  <w:style w:type="paragraph" w:customStyle="1" w:styleId="AppendixText3">
    <w:name w:val="Appendix Text 3"/>
    <w:basedOn w:val="Normal"/>
    <w:next w:val="Normal"/>
    <w:rsid w:val="006B02AC"/>
    <w:pPr>
      <w:numPr>
        <w:ilvl w:val="2"/>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5"/>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5"/>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CellMar>
        <w:left w:w="115" w:type="dxa"/>
        <w:right w:w="115" w:type="dxa"/>
      </w:tblCellMar>
    </w:tblPr>
  </w:style>
  <w:style w:type="table" w:customStyle="1" w:styleId="a9">
    <w:basedOn w:val="TableNormal"/>
    <w:pPr>
      <w:spacing w:after="0"/>
    </w:pPr>
    <w:rPr>
      <w:sz w:val="20"/>
      <w:szCs w:val="20"/>
    </w:rPr>
    <w:tblPr>
      <w:tblStyleRowBandSize w:val="1"/>
      <w:tblStyleColBandSize w:val="1"/>
      <w:tblCellMar>
        <w:left w:w="115" w:type="dxa"/>
        <w:right w:w="115" w:type="dxa"/>
      </w:tblCellMar>
    </w:tblPr>
  </w:style>
  <w:style w:type="table" w:customStyle="1" w:styleId="aa">
    <w:basedOn w:val="TableNormal"/>
    <w:pPr>
      <w:spacing w:after="0"/>
    </w:pPr>
    <w:rPr>
      <w:sz w:val="20"/>
      <w:szCs w:val="20"/>
    </w:rPr>
    <w:tblPr>
      <w:tblStyleRowBandSize w:val="1"/>
      <w:tblStyleColBandSize w:val="1"/>
      <w:tblCellMar>
        <w:left w:w="115" w:type="dxa"/>
        <w:right w:w="115" w:type="dxa"/>
      </w:tblCellMar>
    </w:tblPr>
  </w:style>
  <w:style w:type="table" w:customStyle="1" w:styleId="ab">
    <w:basedOn w:val="TableNormal"/>
    <w:pPr>
      <w:spacing w:after="0"/>
    </w:pPr>
    <w:rPr>
      <w:sz w:val="20"/>
      <w:szCs w:val="20"/>
    </w:rPr>
    <w:tblPr>
      <w:tblStyleRowBandSize w:val="1"/>
      <w:tblStyleColBandSize w:val="1"/>
      <w:tblCellMar>
        <w:left w:w="115" w:type="dxa"/>
        <w:right w:w="115" w:type="dxa"/>
      </w:tblCellMar>
    </w:tblPr>
  </w:style>
  <w:style w:type="table" w:customStyle="1" w:styleId="ac">
    <w:basedOn w:val="TableNormal"/>
    <w:pPr>
      <w:spacing w:after="0"/>
    </w:pPr>
    <w:rPr>
      <w:sz w:val="20"/>
      <w:szCs w:val="20"/>
    </w:rPr>
    <w:tblPr>
      <w:tblStyleRowBandSize w:val="1"/>
      <w:tblStyleColBandSize w:val="1"/>
      <w:tblCellMar>
        <w:left w:w="115" w:type="dxa"/>
        <w:right w:w="115" w:type="dxa"/>
      </w:tblCellMar>
    </w:tblPr>
  </w:style>
  <w:style w:type="table" w:customStyle="1" w:styleId="ad">
    <w:basedOn w:val="TableNormal"/>
    <w:pPr>
      <w:spacing w:after="0"/>
    </w:pPr>
    <w:rPr>
      <w:sz w:val="20"/>
      <w:szCs w:val="20"/>
    </w:rPr>
    <w:tblPr>
      <w:tblStyleRowBandSize w:val="1"/>
      <w:tblStyleColBandSize w:val="1"/>
      <w:tblCellMar>
        <w:left w:w="115" w:type="dxa"/>
        <w:right w:w="115" w:type="dxa"/>
      </w:tblCellMar>
    </w:tblPr>
  </w:style>
  <w:style w:type="table" w:customStyle="1" w:styleId="ae">
    <w:basedOn w:val="TableNormal"/>
    <w:pPr>
      <w:spacing w:after="0"/>
    </w:pPr>
    <w:rPr>
      <w:sz w:val="20"/>
      <w:szCs w:val="20"/>
    </w:rPr>
    <w:tblPr>
      <w:tblStyleRowBandSize w:val="1"/>
      <w:tblStyleColBandSize w:val="1"/>
      <w:tblCellMar>
        <w:left w:w="115" w:type="dxa"/>
        <w:right w:w="115" w:type="dxa"/>
      </w:tblCellMar>
    </w:tblPr>
  </w:style>
  <w:style w:type="table" w:customStyle="1" w:styleId="af">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strategic-supplier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bZOM6aj1/IWcYaF+GIcUkFpsfg==">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9CEFB75345CA724198A07DE6383DACB7" ma:contentTypeVersion="12" ma:contentTypeDescription="Create a new document." ma:contentTypeScope="" ma:versionID="938b5c0f8f58584c18ed8d9354c116e2">
  <xsd:schema xmlns:xsd="http://www.w3.org/2001/XMLSchema" xmlns:xs="http://www.w3.org/2001/XMLSchema" xmlns:p="http://schemas.microsoft.com/office/2006/metadata/properties" xmlns:ns2="b36e5fe9-9e8e-4855-9655-6f69307df65b" xmlns:ns3="fcb409c1-8617-469d-be3f-a71842701f9e" xmlns:ns4="04738c6d-ecc8-46f1-821f-82e308eab3d9" targetNamespace="http://schemas.microsoft.com/office/2006/metadata/properties" ma:root="true" ma:fieldsID="816f95182838f7acf431d0b22530ba17" ns2:_="" ns3:_="" ns4:_="">
    <xsd:import namespace="b36e5fe9-9e8e-4855-9655-6f69307df65b"/>
    <xsd:import namespace="fcb409c1-8617-469d-be3f-a71842701f9e"/>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e5fe9-9e8e-4855-9655-6f69307df6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b409c1-8617-469d-be3f-a71842701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815175e-8286-432c-8e9d-1d0971f94a5e}" ma:internalName="TaxCatchAll" ma:showField="CatchAllData" ma:web="fcb409c1-8617-469d-be3f-a71842701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36e5fe9-9e8e-4855-9655-6f69307df65b">
      <Terms xmlns="http://schemas.microsoft.com/office/infopath/2007/PartnerControls"/>
    </lcf76f155ced4ddcb4097134ff3c332f>
    <TaxCatchAll xmlns="04738c6d-ecc8-46f1-821f-82e308eab3d9"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4E42F1F-AB0E-49D8-B563-85EAB24DF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e5fe9-9e8e-4855-9655-6f69307df65b"/>
    <ds:schemaRef ds:uri="fcb409c1-8617-469d-be3f-a71842701f9e"/>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ADEC7-ED90-4DA4-9EE8-A082653E930C}">
  <ds:schemaRefs>
    <ds:schemaRef ds:uri="http://schemas.microsoft.com/sharepoint/v3/contenttype/forms"/>
  </ds:schemaRefs>
</ds:datastoreItem>
</file>

<file path=customXml/itemProps4.xml><?xml version="1.0" encoding="utf-8"?>
<ds:datastoreItem xmlns:ds="http://schemas.openxmlformats.org/officeDocument/2006/customXml" ds:itemID="{2EF0795B-0ECE-4887-9EF4-78597B2885AE}">
  <ds:schemaRefs>
    <ds:schemaRef ds:uri="http://schemas.microsoft.com/office/2006/metadata/properties"/>
    <ds:schemaRef ds:uri="http://schemas.microsoft.com/office/infopath/2007/PartnerControls"/>
    <ds:schemaRef ds:uri="b36e5fe9-9e8e-4855-9655-6f69307df65b"/>
    <ds:schemaRef ds:uri="04738c6d-ecc8-46f1-821f-82e308eab3d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6715</Words>
  <Characters>38276</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GSTT</Company>
  <LinksUpToDate>false</LinksUpToDate>
  <CharactersWithSpaces>44902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Moreton</dc:creator>
  <cp:lastModifiedBy>Edwards, Kelvin C1 (UKStratCom-Comrcl C1-05)</cp:lastModifiedBy>
  <cp:revision>2</cp:revision>
  <dcterms:created xsi:type="dcterms:W3CDTF">2024-12-23T11:10:00Z</dcterms:created>
  <dcterms:modified xsi:type="dcterms:W3CDTF">2024-12-23T11:10:00Z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0x0101009CEFB75345CA724198A07DE6383DACB7</vt:lpwstr>
  </property>
  <property fmtid="{D5CDD505-2E9C-101B-9397-08002B2CF9AE}" pid="4" name="MediaServiceImageTags">
    <vt:lpwstr/>
  </property>
  <property fmtid="{D5CDD505-2E9C-101B-9397-08002B2CF9AE}" pid="5" name="ClassificationContentMarkingHeaderShapeIds">
    <vt:lpwstr>1,2,3</vt:lpwstr>
  </property>
  <property fmtid="{D5CDD505-2E9C-101B-9397-08002B2CF9AE}" pid="6" name="ClassificationContentMarkingHeaderFontProps">
    <vt:lpwstr>#000000,11,Arial</vt:lpwstr>
  </property>
  <property fmtid="{D5CDD505-2E9C-101B-9397-08002B2CF9AE}" pid="7" name="ClassificationContentMarkingHeaderText">
    <vt:lpwstr>OFFICIAL-SENSITIVE - COMMERCIAL</vt:lpwstr>
  </property>
  <property fmtid="{D5CDD505-2E9C-101B-9397-08002B2CF9AE}" pid="8" name="ClassificationContentMarkingFooterShapeIds">
    <vt:lpwstr>4,5,8</vt:lpwstr>
  </property>
  <property fmtid="{D5CDD505-2E9C-101B-9397-08002B2CF9AE}" pid="9" name="ClassificationContentMarkingFooterFontProps">
    <vt:lpwstr>#000000,11,Arial</vt:lpwstr>
  </property>
  <property fmtid="{D5CDD505-2E9C-101B-9397-08002B2CF9AE}" pid="10" name="ClassificationContentMarkingFooterText">
    <vt:lpwstr>OFFICIAL-SENSITIVE - COMMERCIAL</vt:lpwstr>
  </property>
  <property fmtid="{D5CDD505-2E9C-101B-9397-08002B2CF9AE}" pid="11" name="MSIP_Label_5e992740-1f89-4ed6-b51b-95a6d0136ac8_Enabled">
    <vt:lpwstr>true</vt:lpwstr>
  </property>
  <property fmtid="{D5CDD505-2E9C-101B-9397-08002B2CF9AE}" pid="12" name="MSIP_Label_5e992740-1f89-4ed6-b51b-95a6d0136ac8_SetDate">
    <vt:lpwstr>2024-06-25T10:33:53Z</vt:lpwstr>
  </property>
  <property fmtid="{D5CDD505-2E9C-101B-9397-08002B2CF9AE}" pid="13" name="MSIP_Label_5e992740-1f89-4ed6-b51b-95a6d0136ac8_Method">
    <vt:lpwstr>Privileged</vt:lpwstr>
  </property>
  <property fmtid="{D5CDD505-2E9C-101B-9397-08002B2CF9AE}" pid="14" name="MSIP_Label_5e992740-1f89-4ed6-b51b-95a6d0136ac8_Name">
    <vt:lpwstr>MOD-2-OSL-OFFICIAL-SENSITIVE-COMMERCIAL</vt:lpwstr>
  </property>
  <property fmtid="{D5CDD505-2E9C-101B-9397-08002B2CF9AE}" pid="15" name="MSIP_Label_5e992740-1f89-4ed6-b51b-95a6d0136ac8_SiteId">
    <vt:lpwstr>be7760ed-5953-484b-ae95-d0a16dfa09e5</vt:lpwstr>
  </property>
  <property fmtid="{D5CDD505-2E9C-101B-9397-08002B2CF9AE}" pid="16" name="MSIP_Label_5e992740-1f89-4ed6-b51b-95a6d0136ac8_ActionId">
    <vt:lpwstr>475221a9-bbea-4b62-9cd2-96efd6cf0e02</vt:lpwstr>
  </property>
  <property fmtid="{D5CDD505-2E9C-101B-9397-08002B2CF9AE}" pid="17" name="MSIP_Label_5e992740-1f89-4ed6-b51b-95a6d0136ac8_ContentBits">
    <vt:lpwstr>3</vt:lpwstr>
  </property>
</Properties>
</file>